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F5" w:rsidRDefault="00633658" w:rsidP="006529F5">
      <w:pPr>
        <w:jc w:val="center"/>
        <w:rPr>
          <w:b/>
        </w:rPr>
      </w:pPr>
      <w:r>
        <w:rPr>
          <w:b/>
        </w:rPr>
        <w:t xml:space="preserve">TOWN OF </w:t>
      </w:r>
      <w:r w:rsidR="006F3CB6">
        <w:rPr>
          <w:b/>
        </w:rPr>
        <w:t>SANDSTONE</w:t>
      </w:r>
      <w:r w:rsidR="005C7A79">
        <w:rPr>
          <w:b/>
        </w:rPr>
        <w:t>, MINNESOTA</w:t>
      </w:r>
    </w:p>
    <w:p w:rsidR="00FB59FE" w:rsidRPr="0065365C" w:rsidRDefault="0018315C" w:rsidP="006529F5">
      <w:pPr>
        <w:jc w:val="center"/>
        <w:rPr>
          <w:b/>
        </w:rPr>
      </w:pPr>
      <w:r>
        <w:rPr>
          <w:b/>
        </w:rPr>
        <w:t xml:space="preserve">PRE- AND </w:t>
      </w:r>
      <w:r w:rsidR="00FB59FE" w:rsidRPr="0065365C">
        <w:rPr>
          <w:b/>
        </w:rPr>
        <w:t>POST-ISSUANCE COMPLIANCE POLICY</w:t>
      </w:r>
      <w:r w:rsidR="00FB59FE">
        <w:rPr>
          <w:b/>
        </w:rPr>
        <w:t xml:space="preserve"> AND PROCEDURES</w:t>
      </w:r>
    </w:p>
    <w:p w:rsidR="00C9485E" w:rsidRDefault="008E1423" w:rsidP="00BF655A">
      <w:pPr>
        <w:spacing w:before="240"/>
      </w:pPr>
      <w:r>
        <w:rPr>
          <w:b/>
        </w:rPr>
        <w:t>I.</w:t>
      </w:r>
      <w:r w:rsidR="00BF655A">
        <w:rPr>
          <w:b/>
        </w:rPr>
        <w:tab/>
      </w:r>
      <w:r w:rsidR="00C9485E">
        <w:rPr>
          <w:b/>
        </w:rPr>
        <w:t>DEFINITIONS</w:t>
      </w:r>
    </w:p>
    <w:p w:rsidR="00C9485E" w:rsidRDefault="00C9485E" w:rsidP="000F3C31">
      <w:pPr>
        <w:spacing w:before="240"/>
        <w:jc w:val="both"/>
      </w:pPr>
      <w:r>
        <w:t>For purposes of this policy and procedure, the following capitalized terms have the meanings given:</w:t>
      </w:r>
    </w:p>
    <w:p w:rsidR="00DB72B6" w:rsidRPr="00DB72B6" w:rsidRDefault="00DB72B6" w:rsidP="00160E8F">
      <w:pPr>
        <w:spacing w:before="240"/>
        <w:ind w:left="720"/>
        <w:jc w:val="both"/>
      </w:pPr>
      <w:r w:rsidRPr="00DB72B6">
        <w:rPr>
          <w:u w:val="single"/>
        </w:rPr>
        <w:t>Bond Counsel</w:t>
      </w:r>
      <w:r w:rsidRPr="00DB72B6">
        <w:t>: the firm of Fryberger, Buchanan, Smith &amp; Frederick, P.A., of Duluth, Minnesota, or any other firm of nationally recognized bond counsel experienced in tax-exempt financing, selected by the Issuer.</w:t>
      </w:r>
    </w:p>
    <w:p w:rsidR="00C9485E" w:rsidRDefault="00C9485E" w:rsidP="00160E8F">
      <w:pPr>
        <w:spacing w:before="240"/>
        <w:ind w:left="720"/>
        <w:jc w:val="both"/>
      </w:pPr>
      <w:r w:rsidRPr="00160E8F">
        <w:rPr>
          <w:u w:val="single"/>
        </w:rPr>
        <w:t>Code</w:t>
      </w:r>
      <w:r w:rsidR="00F27678">
        <w:t xml:space="preserve">: </w:t>
      </w:r>
      <w:r w:rsidR="005205FD">
        <w:t xml:space="preserve">the </w:t>
      </w:r>
      <w:r>
        <w:t>Internal Revenue Code of 1986, as amended.</w:t>
      </w:r>
    </w:p>
    <w:p w:rsidR="00160E8F" w:rsidRDefault="00160E8F" w:rsidP="00160E8F">
      <w:pPr>
        <w:spacing w:before="240"/>
        <w:ind w:left="720"/>
        <w:jc w:val="both"/>
      </w:pPr>
      <w:r w:rsidRPr="00160E8F">
        <w:rPr>
          <w:u w:val="single"/>
        </w:rPr>
        <w:t>Compliance Officer</w:t>
      </w:r>
      <w:r>
        <w:t xml:space="preserve">: </w:t>
      </w:r>
      <w:r w:rsidRPr="00F307E2">
        <w:t xml:space="preserve">the </w:t>
      </w:r>
      <w:r w:rsidR="009544E3">
        <w:t>Treasurer</w:t>
      </w:r>
      <w:r w:rsidR="00431C54" w:rsidRPr="00431C54">
        <w:t xml:space="preserve"> </w:t>
      </w:r>
      <w:r w:rsidRPr="00F307E2">
        <w:t>of the</w:t>
      </w:r>
      <w:r w:rsidRPr="006E4944">
        <w:t xml:space="preserve"> </w:t>
      </w:r>
      <w:r>
        <w:t>Issuer</w:t>
      </w:r>
      <w:r w:rsidR="00521AFC">
        <w:t xml:space="preserve">, or any other person designated in writing by the </w:t>
      </w:r>
      <w:r w:rsidR="00633658">
        <w:t xml:space="preserve">Board of Supervisors </w:t>
      </w:r>
      <w:r w:rsidR="00521AFC">
        <w:t>or by resolution of the governing body of the Issuer</w:t>
      </w:r>
      <w:r>
        <w:t>.</w:t>
      </w:r>
    </w:p>
    <w:p w:rsidR="00160E8F" w:rsidRDefault="00160E8F" w:rsidP="00160E8F">
      <w:pPr>
        <w:spacing w:before="240"/>
        <w:ind w:left="720"/>
        <w:jc w:val="both"/>
      </w:pPr>
      <w:r>
        <w:rPr>
          <w:u w:val="single"/>
        </w:rPr>
        <w:t>Declaration</w:t>
      </w:r>
      <w:r w:rsidR="00F27678">
        <w:t xml:space="preserve">: </w:t>
      </w:r>
      <w:r>
        <w:t>an official action by the Issuer of its intent to reimburse itself for previously paid expenditures out of the proceeds of subsequently issued tax-exempt Obligations</w:t>
      </w:r>
      <w:r w:rsidR="005205FD">
        <w:t>.</w:t>
      </w:r>
    </w:p>
    <w:p w:rsidR="00160E8F" w:rsidRDefault="00160E8F" w:rsidP="00160E8F">
      <w:pPr>
        <w:spacing w:before="240"/>
        <w:ind w:left="720"/>
        <w:jc w:val="both"/>
      </w:pPr>
      <w:r>
        <w:rPr>
          <w:u w:val="single"/>
        </w:rPr>
        <w:t>Designees</w:t>
      </w:r>
      <w:r w:rsidR="00F27678">
        <w:t xml:space="preserve">: </w:t>
      </w:r>
      <w:r>
        <w:t>one or more employees or consultants under the supervision of the Compliance Officer.</w:t>
      </w:r>
    </w:p>
    <w:p w:rsidR="00160E8F" w:rsidRPr="00160E8F" w:rsidRDefault="00160E8F" w:rsidP="00160E8F">
      <w:pPr>
        <w:spacing w:before="240"/>
        <w:ind w:left="720"/>
        <w:jc w:val="both"/>
      </w:pPr>
      <w:r>
        <w:rPr>
          <w:u w:val="single"/>
        </w:rPr>
        <w:t>EMMA</w:t>
      </w:r>
      <w:r w:rsidR="00F27678">
        <w:t xml:space="preserve">: </w:t>
      </w:r>
      <w:r w:rsidR="005205FD">
        <w:t xml:space="preserve">the </w:t>
      </w:r>
      <w:r>
        <w:t>Electronic Municipal Market Access system of the MSRB.</w:t>
      </w:r>
    </w:p>
    <w:p w:rsidR="00C9485E" w:rsidRDefault="00C9485E" w:rsidP="00160E8F">
      <w:pPr>
        <w:spacing w:before="240"/>
        <w:ind w:left="720"/>
        <w:jc w:val="both"/>
      </w:pPr>
      <w:r w:rsidRPr="00160E8F">
        <w:rPr>
          <w:u w:val="single"/>
        </w:rPr>
        <w:t>Issuer</w:t>
      </w:r>
      <w:r w:rsidR="00F27678">
        <w:t xml:space="preserve">: </w:t>
      </w:r>
      <w:r>
        <w:t xml:space="preserve">the </w:t>
      </w:r>
      <w:r w:rsidR="00633658">
        <w:t xml:space="preserve">Town of </w:t>
      </w:r>
      <w:r w:rsidR="00CE50A0">
        <w:t>Sandstone</w:t>
      </w:r>
      <w:r>
        <w:t>, Minnesota.</w:t>
      </w:r>
    </w:p>
    <w:p w:rsidR="00160E8F" w:rsidRDefault="00160E8F" w:rsidP="00160E8F">
      <w:pPr>
        <w:spacing w:before="240"/>
        <w:ind w:left="720"/>
        <w:jc w:val="both"/>
      </w:pPr>
      <w:r>
        <w:rPr>
          <w:u w:val="single"/>
        </w:rPr>
        <w:t>MSRB</w:t>
      </w:r>
      <w:r w:rsidR="00F27678">
        <w:t xml:space="preserve">: </w:t>
      </w:r>
      <w:r>
        <w:t>the Municipal Securities Rulemaking Board, or any successor to its functions.</w:t>
      </w:r>
    </w:p>
    <w:p w:rsidR="00C9485E" w:rsidRDefault="00C9485E" w:rsidP="00160E8F">
      <w:pPr>
        <w:spacing w:before="240"/>
        <w:ind w:left="720"/>
        <w:jc w:val="both"/>
      </w:pPr>
      <w:r w:rsidRPr="00160E8F">
        <w:rPr>
          <w:u w:val="single"/>
        </w:rPr>
        <w:t>Obligations</w:t>
      </w:r>
      <w:r>
        <w:t xml:space="preserve">: </w:t>
      </w:r>
      <w:r w:rsidR="00160E8F">
        <w:t>the Issuer’s existing, proposed and future obligations on which it is directly obligated.</w:t>
      </w:r>
    </w:p>
    <w:p w:rsidR="00160E8F" w:rsidRDefault="00160E8F" w:rsidP="00160E8F">
      <w:pPr>
        <w:spacing w:before="240"/>
        <w:ind w:left="720"/>
        <w:jc w:val="both"/>
      </w:pPr>
      <w:r w:rsidRPr="00160E8F">
        <w:rPr>
          <w:u w:val="single"/>
        </w:rPr>
        <w:t>Official Statement</w:t>
      </w:r>
      <w:r w:rsidRPr="00160E8F">
        <w:t>: collectively, preliminary and final Official Statements, remarketing circulars or offering memoranda used in connection with the offering of Obligations.</w:t>
      </w:r>
    </w:p>
    <w:p w:rsidR="00C9485E" w:rsidRDefault="00C9485E" w:rsidP="00160E8F">
      <w:pPr>
        <w:spacing w:before="240"/>
        <w:ind w:left="720"/>
        <w:jc w:val="both"/>
      </w:pPr>
      <w:r w:rsidRPr="00160E8F">
        <w:rPr>
          <w:u w:val="single"/>
        </w:rPr>
        <w:t>Treasury Regulations</w:t>
      </w:r>
      <w:r w:rsidR="00F27678">
        <w:t xml:space="preserve">: </w:t>
      </w:r>
      <w:r>
        <w:t>regulations promulgated by the IRS under the Code.</w:t>
      </w:r>
    </w:p>
    <w:p w:rsidR="00160E8F" w:rsidRPr="00C9485E" w:rsidRDefault="00160E8F" w:rsidP="00160E8F">
      <w:pPr>
        <w:spacing w:before="240"/>
        <w:ind w:left="720"/>
        <w:jc w:val="both"/>
      </w:pPr>
      <w:r>
        <w:rPr>
          <w:u w:val="single"/>
        </w:rPr>
        <w:t>VCAP</w:t>
      </w:r>
      <w:r w:rsidR="00F27678">
        <w:t xml:space="preserve">: </w:t>
      </w:r>
      <w:r w:rsidRPr="0055014D">
        <w:t>the Treasury’s Tax-Exempt Bonds Voluntary Closing Agreement Program</w:t>
      </w:r>
      <w:r>
        <w:t>.</w:t>
      </w:r>
    </w:p>
    <w:p w:rsidR="00FB59FE" w:rsidRPr="0065365C" w:rsidRDefault="00C9485E" w:rsidP="00BF655A">
      <w:pPr>
        <w:spacing w:before="240"/>
        <w:rPr>
          <w:b/>
        </w:rPr>
      </w:pPr>
      <w:r>
        <w:rPr>
          <w:b/>
        </w:rPr>
        <w:t>II.</w:t>
      </w:r>
      <w:r>
        <w:rPr>
          <w:b/>
        </w:rPr>
        <w:tab/>
      </w:r>
      <w:r w:rsidR="00FB59FE">
        <w:rPr>
          <w:b/>
        </w:rPr>
        <w:t>STATEMENT OF PURPOSE</w:t>
      </w:r>
    </w:p>
    <w:p w:rsidR="00FB59FE" w:rsidRDefault="00FB59FE" w:rsidP="0018315C">
      <w:pPr>
        <w:spacing w:before="240"/>
        <w:jc w:val="both"/>
      </w:pPr>
      <w:r>
        <w:t xml:space="preserve">This </w:t>
      </w:r>
      <w:r w:rsidR="002E4AC0">
        <w:t>document</w:t>
      </w:r>
      <w:r>
        <w:t xml:space="preserve"> sets forth specific policies of the </w:t>
      </w:r>
      <w:r w:rsidR="00E24B3C">
        <w:t>Issuer</w:t>
      </w:r>
      <w:r>
        <w:t xml:space="preserve"> designated to monitor </w:t>
      </w:r>
      <w:r w:rsidR="002E4AC0">
        <w:t>pre-</w:t>
      </w:r>
      <w:r w:rsidR="00365013">
        <w:t xml:space="preserve"> </w:t>
      </w:r>
      <w:r w:rsidR="002E4AC0">
        <w:t xml:space="preserve">and </w:t>
      </w:r>
      <w:r>
        <w:t xml:space="preserve">post-issuance compliance </w:t>
      </w:r>
      <w:r w:rsidR="002E4AC0">
        <w:t>by</w:t>
      </w:r>
      <w:r>
        <w:t xml:space="preserve"> </w:t>
      </w:r>
      <w:r w:rsidR="002E4AC0">
        <w:t xml:space="preserve">the </w:t>
      </w:r>
      <w:r w:rsidR="00E24B3C">
        <w:t>Issuer</w:t>
      </w:r>
      <w:r>
        <w:t xml:space="preserve"> with provisions of the Code and </w:t>
      </w:r>
      <w:r w:rsidR="00780526">
        <w:t>Treasury Regulations</w:t>
      </w:r>
      <w:r w:rsidR="002E4AC0">
        <w:t xml:space="preserve"> applicable to the Obligations</w:t>
      </w:r>
      <w:r w:rsidR="00780526">
        <w:t>.</w:t>
      </w:r>
    </w:p>
    <w:p w:rsidR="00FB59FE" w:rsidRDefault="00FB59FE" w:rsidP="0018315C">
      <w:pPr>
        <w:spacing w:before="240"/>
        <w:jc w:val="both"/>
      </w:pPr>
      <w:r>
        <w:t>Th</w:t>
      </w:r>
      <w:r w:rsidR="002E4AC0">
        <w:t>is policy and procedure</w:t>
      </w:r>
      <w:r>
        <w:t xml:space="preserve"> documents various procedures and systems </w:t>
      </w:r>
      <w:r w:rsidR="002E4AC0">
        <w:t xml:space="preserve">implemented </w:t>
      </w:r>
      <w:r w:rsidR="00656AC1">
        <w:t xml:space="preserve">or to be implemented </w:t>
      </w:r>
      <w:r w:rsidR="002E4AC0">
        <w:t xml:space="preserve">by the </w:t>
      </w:r>
      <w:r w:rsidR="00E24B3C">
        <w:t>Issuer</w:t>
      </w:r>
      <w:r w:rsidR="002E4AC0">
        <w:t xml:space="preserve"> and </w:t>
      </w:r>
      <w:r w:rsidR="00FF1877">
        <w:t xml:space="preserve">in order </w:t>
      </w:r>
      <w:r>
        <w:t xml:space="preserve">to identify on a timely basis facts relevant to compliance with the requirements that must be satisfied </w:t>
      </w:r>
      <w:r w:rsidR="002E4AC0">
        <w:t xml:space="preserve">prior and </w:t>
      </w:r>
      <w:r>
        <w:t xml:space="preserve">subsequent to the issuance of Obligations in order that the interest on such </w:t>
      </w:r>
      <w:r w:rsidR="00E20390">
        <w:t xml:space="preserve">Obligations </w:t>
      </w:r>
      <w:r>
        <w:t xml:space="preserve">be, or continue to be, or would be but for certain </w:t>
      </w:r>
      <w:r>
        <w:lastRenderedPageBreak/>
        <w:t xml:space="preserve">provisions of the Code, excludable from gross income for federal income tax purposes.  </w:t>
      </w:r>
      <w:r w:rsidR="002E4AC0">
        <w:t xml:space="preserve">The </w:t>
      </w:r>
      <w:r w:rsidR="00E24B3C">
        <w:t>Issuer</w:t>
      </w:r>
      <w:r>
        <w:t xml:space="preserve"> recognizes that compliance with applicable provisions of the Code and </w:t>
      </w:r>
      <w:r w:rsidR="00E25FDE">
        <w:t>Treasury Regulations</w:t>
      </w:r>
      <w:r>
        <w:t xml:space="preserve"> is an on-going process, necessary during the entire term of the Obligations, and an integral component of </w:t>
      </w:r>
      <w:r w:rsidR="002E4AC0">
        <w:t xml:space="preserve">the </w:t>
      </w:r>
      <w:r w:rsidR="00E24B3C">
        <w:t>Issuer</w:t>
      </w:r>
      <w:r>
        <w:t xml:space="preserve">’s debt management.  Accordingly, the analysis of those facts and implementation of </w:t>
      </w:r>
      <w:r w:rsidR="002E4AC0">
        <w:t>this policy and procedure</w:t>
      </w:r>
      <w:r>
        <w:t xml:space="preserve"> will require on-going monitoring and, likely, consultation with </w:t>
      </w:r>
      <w:r w:rsidR="00DB72B6">
        <w:t>Bond Counsel</w:t>
      </w:r>
      <w:r>
        <w:t xml:space="preserve"> beyond the scope of its initial engagement with respect to the issuance of particular Obligations.</w:t>
      </w:r>
    </w:p>
    <w:p w:rsidR="00FB59FE" w:rsidRDefault="00F27678" w:rsidP="00FA57A8">
      <w:pPr>
        <w:spacing w:before="240"/>
        <w:rPr>
          <w:b/>
        </w:rPr>
      </w:pPr>
      <w:r>
        <w:rPr>
          <w:b/>
        </w:rPr>
        <w:t>I</w:t>
      </w:r>
      <w:r w:rsidR="008E1423">
        <w:rPr>
          <w:b/>
        </w:rPr>
        <w:t>II.</w:t>
      </w:r>
      <w:r w:rsidR="00FA57A8">
        <w:rPr>
          <w:b/>
        </w:rPr>
        <w:tab/>
      </w:r>
      <w:r w:rsidR="00FB59FE" w:rsidRPr="008C7ED5">
        <w:rPr>
          <w:b/>
        </w:rPr>
        <w:t>PROCEDURES</w:t>
      </w:r>
      <w:r w:rsidR="008E1423">
        <w:rPr>
          <w:b/>
        </w:rPr>
        <w:t xml:space="preserve"> APPLICABLE TO DIRECT OBLIGATIONS OF THE </w:t>
      </w:r>
      <w:r w:rsidR="00E24B3C">
        <w:rPr>
          <w:b/>
        </w:rPr>
        <w:t>ISSUER</w:t>
      </w:r>
    </w:p>
    <w:p w:rsidR="00FB59FE" w:rsidRPr="0065365C" w:rsidRDefault="008E1423" w:rsidP="00FC6F45">
      <w:pPr>
        <w:keepNext/>
        <w:spacing w:before="240"/>
        <w:ind w:left="1440" w:hanging="720"/>
        <w:jc w:val="both"/>
        <w:rPr>
          <w:b/>
        </w:rPr>
      </w:pPr>
      <w:r>
        <w:rPr>
          <w:b/>
        </w:rPr>
        <w:t>A</w:t>
      </w:r>
      <w:r w:rsidR="00FB59FE" w:rsidRPr="0065365C">
        <w:rPr>
          <w:b/>
        </w:rPr>
        <w:t>.</w:t>
      </w:r>
      <w:r w:rsidR="00FB59FE" w:rsidRPr="0065365C">
        <w:rPr>
          <w:b/>
        </w:rPr>
        <w:tab/>
        <w:t>Monitoring of Post-Issuance Compliance</w:t>
      </w:r>
    </w:p>
    <w:p w:rsidR="00FB59FE" w:rsidRDefault="00FB59FE" w:rsidP="00FC6F45">
      <w:pPr>
        <w:spacing w:before="240"/>
        <w:ind w:left="1440"/>
        <w:jc w:val="both"/>
      </w:pPr>
      <w:r>
        <w:t xml:space="preserve">Monitoring of </w:t>
      </w:r>
      <w:r w:rsidR="00784D17">
        <w:t xml:space="preserve">pre- and </w:t>
      </w:r>
      <w:r>
        <w:t xml:space="preserve">post-issuance compliance for </w:t>
      </w:r>
      <w:r w:rsidR="001B626B">
        <w:t>tax</w:t>
      </w:r>
      <w:r w:rsidR="00EA4463">
        <w:t>-</w:t>
      </w:r>
      <w:r w:rsidR="001B626B">
        <w:t>exempt Obligations</w:t>
      </w:r>
      <w:r>
        <w:t xml:space="preserve"> will be the </w:t>
      </w:r>
      <w:r w:rsidRPr="006E4944">
        <w:t xml:space="preserve">responsibility of </w:t>
      </w:r>
      <w:r>
        <w:t xml:space="preserve">the Compliance Officer. </w:t>
      </w:r>
      <w:r w:rsidR="00E20390">
        <w:t xml:space="preserve"> </w:t>
      </w:r>
      <w:r>
        <w:t xml:space="preserve">The Compliance Officer may </w:t>
      </w:r>
      <w:r w:rsidR="00160E8F">
        <w:t>appoint</w:t>
      </w:r>
      <w:r>
        <w:t xml:space="preserve"> Designee</w:t>
      </w:r>
      <w:r w:rsidR="002E4AC0">
        <w:t>s</w:t>
      </w:r>
      <w:r>
        <w:t xml:space="preserve"> to carry out certain duties under </w:t>
      </w:r>
      <w:r w:rsidR="002E4AC0">
        <w:t>this policy and procedure</w:t>
      </w:r>
      <w:r>
        <w:t xml:space="preserve"> on </w:t>
      </w:r>
      <w:r w:rsidR="00107418">
        <w:t>his</w:t>
      </w:r>
      <w:r>
        <w:t xml:space="preserve"> </w:t>
      </w:r>
      <w:r w:rsidR="00656AC1">
        <w:t xml:space="preserve">or her </w:t>
      </w:r>
      <w:r>
        <w:t>behalf in the same manner and with the same effect as any similar designation for any other purpose permitted by law.</w:t>
      </w:r>
    </w:p>
    <w:p w:rsidR="00FB59FE" w:rsidRPr="0065365C" w:rsidRDefault="008E1423" w:rsidP="00FC6F45">
      <w:pPr>
        <w:keepNext/>
        <w:spacing w:before="240"/>
        <w:ind w:left="1440" w:hanging="720"/>
        <w:jc w:val="both"/>
        <w:rPr>
          <w:b/>
        </w:rPr>
      </w:pPr>
      <w:r>
        <w:rPr>
          <w:b/>
        </w:rPr>
        <w:t>B</w:t>
      </w:r>
      <w:r w:rsidR="00FB59FE" w:rsidRPr="0065365C">
        <w:rPr>
          <w:b/>
        </w:rPr>
        <w:t>.</w:t>
      </w:r>
      <w:r w:rsidR="00FB59FE" w:rsidRPr="0065365C">
        <w:rPr>
          <w:b/>
        </w:rPr>
        <w:tab/>
        <w:t>Compliance with Covenants in Bond Documents</w:t>
      </w:r>
    </w:p>
    <w:p w:rsidR="00FB59FE" w:rsidRDefault="00FB59FE" w:rsidP="00FC6F45">
      <w:pPr>
        <w:spacing w:before="240"/>
        <w:ind w:left="1440"/>
        <w:jc w:val="both"/>
      </w:pPr>
      <w:r>
        <w:t xml:space="preserve">The Compliance Officer shall </w:t>
      </w:r>
      <w:r w:rsidR="002E4AC0">
        <w:t>monitor</w:t>
      </w:r>
      <w:r>
        <w:t xml:space="preserve"> compliance with all financial and operational covenants made by </w:t>
      </w:r>
      <w:r w:rsidR="002E4AC0">
        <w:t xml:space="preserve">the </w:t>
      </w:r>
      <w:r w:rsidR="00E24B3C">
        <w:t>Issuer</w:t>
      </w:r>
      <w:r w:rsidR="00324578">
        <w:t xml:space="preserve"> </w:t>
      </w:r>
      <w:r>
        <w:t>in the documents</w:t>
      </w:r>
      <w:r w:rsidR="002E4AC0">
        <w:t xml:space="preserve"> relating to the issuance of the Obligations</w:t>
      </w:r>
      <w:r>
        <w:t xml:space="preserve">, </w:t>
      </w:r>
      <w:r w:rsidRPr="00E97D70">
        <w:t>including but not limited to financial reporting and restrictions on incurring additional indebtedness.</w:t>
      </w:r>
    </w:p>
    <w:p w:rsidR="00FB59FE" w:rsidRDefault="008E1423" w:rsidP="00FC6F45">
      <w:pPr>
        <w:keepNext/>
        <w:spacing w:before="240"/>
        <w:ind w:left="1440" w:hanging="720"/>
        <w:jc w:val="both"/>
        <w:rPr>
          <w:b/>
        </w:rPr>
      </w:pPr>
      <w:r>
        <w:rPr>
          <w:b/>
        </w:rPr>
        <w:t>C</w:t>
      </w:r>
      <w:r w:rsidR="00FB59FE" w:rsidRPr="0065365C">
        <w:rPr>
          <w:b/>
        </w:rPr>
        <w:t>.</w:t>
      </w:r>
      <w:r w:rsidR="00FB59FE" w:rsidRPr="0065365C">
        <w:rPr>
          <w:b/>
        </w:rPr>
        <w:tab/>
        <w:t>Federal Tax Law Compliance</w:t>
      </w:r>
    </w:p>
    <w:p w:rsidR="00F50FB0" w:rsidRDefault="008E1423" w:rsidP="00FC6F45">
      <w:pPr>
        <w:spacing w:before="240"/>
        <w:ind w:left="2160" w:hanging="720"/>
        <w:jc w:val="both"/>
      </w:pPr>
      <w:r>
        <w:t>1</w:t>
      </w:r>
      <w:r w:rsidR="00FB59FE">
        <w:t>.</w:t>
      </w:r>
      <w:r w:rsidR="00FB59FE">
        <w:tab/>
      </w:r>
      <w:r w:rsidR="00F735A9" w:rsidRPr="00F735A9">
        <w:rPr>
          <w:u w:val="single"/>
        </w:rPr>
        <w:t>Issue Price</w:t>
      </w:r>
      <w:r w:rsidR="00F735A9">
        <w:t xml:space="preserve">.  </w:t>
      </w:r>
      <w:r w:rsidR="00D721AF">
        <w:t xml:space="preserve">An issue of obligations is a good candidate for a negotiated sale if the Issuer has not issued its direct obligations in a significant period of time; the Issuer has not traditionally sought a credit rating; the issue is relatively small and as a result the costs of issuance of a competitive sale are unduly burdensome; or </w:t>
      </w:r>
      <w:r w:rsidR="00D721AF" w:rsidRPr="00D721AF">
        <w:t xml:space="preserve">the restructuring of </w:t>
      </w:r>
      <w:r w:rsidR="00D721AF">
        <w:t xml:space="preserve">debt to be refunded or refinanced and </w:t>
      </w:r>
      <w:r w:rsidR="00D721AF" w:rsidRPr="00D721AF">
        <w:t xml:space="preserve">extending repayment and targeting specific </w:t>
      </w:r>
      <w:r w:rsidR="00D721AF">
        <w:t xml:space="preserve">debt service and tax </w:t>
      </w:r>
      <w:r w:rsidR="00D721AF" w:rsidRPr="00D721AF">
        <w:t xml:space="preserve">levy thresholds requires a fair amount of tinkering and dialogue with both the </w:t>
      </w:r>
      <w:r w:rsidR="00D721AF">
        <w:t>Issuer</w:t>
      </w:r>
      <w:r w:rsidR="00D721AF" w:rsidRPr="00D721AF">
        <w:t xml:space="preserve"> and </w:t>
      </w:r>
      <w:r w:rsidR="00D721AF">
        <w:t>the investors</w:t>
      </w:r>
      <w:r w:rsidR="00D721AF" w:rsidRPr="00D721AF">
        <w:t xml:space="preserve">, which </w:t>
      </w:r>
      <w:r w:rsidR="00D721AF">
        <w:t>is</w:t>
      </w:r>
      <w:r w:rsidR="00D721AF" w:rsidRPr="00D721AF">
        <w:t xml:space="preserve"> much easier to accomplish with the flexibility of a negotiated pricing.</w:t>
      </w:r>
    </w:p>
    <w:p w:rsidR="00F735A9" w:rsidRDefault="00F50FB0" w:rsidP="00FC6F45">
      <w:pPr>
        <w:spacing w:before="240"/>
        <w:ind w:left="2880" w:hanging="720"/>
        <w:jc w:val="both"/>
      </w:pPr>
      <w:r>
        <w:t>a.</w:t>
      </w:r>
      <w:r>
        <w:tab/>
        <w:t xml:space="preserve">In </w:t>
      </w:r>
      <w:r w:rsidR="00FA57A8">
        <w:t xml:space="preserve">conjunction with the negotiated sale of any direct obligations of the Issuer, the </w:t>
      </w:r>
      <w:r w:rsidR="00100439">
        <w:t>Compliance Officer</w:t>
      </w:r>
      <w:r w:rsidR="00F735A9">
        <w:t xml:space="preserve"> shall, or shall request the Issuer’s independent financial advisor to, monitor the issue price of any direct obligations of the Issuer in accordance with </w:t>
      </w:r>
      <w:r w:rsidR="00FA57A8">
        <w:t>the Government Finance Officers</w:t>
      </w:r>
      <w:r w:rsidR="00F735A9">
        <w:t xml:space="preserve"> Association</w:t>
      </w:r>
      <w:r w:rsidR="00FA57A8">
        <w:t>’s</w:t>
      </w:r>
      <w:r w:rsidR="00F735A9">
        <w:t xml:space="preserve"> Best Practice relating to Pricing Bonds in a Negotiated Sale.</w:t>
      </w:r>
    </w:p>
    <w:p w:rsidR="00F50FB0" w:rsidRDefault="00F50FB0" w:rsidP="00FC6F45">
      <w:pPr>
        <w:spacing w:before="240"/>
        <w:ind w:left="2880" w:hanging="720"/>
        <w:jc w:val="both"/>
      </w:pPr>
      <w:r>
        <w:t>b.</w:t>
      </w:r>
      <w:r>
        <w:tab/>
        <w:t xml:space="preserve">In the event the Issuer’s independent financial advisor is unavailable, </w:t>
      </w:r>
      <w:r w:rsidR="00D721AF">
        <w:t xml:space="preserve">the Issuer will request the purchaser to </w:t>
      </w:r>
      <w:r>
        <w:t xml:space="preserve">provide ongoing information to the </w:t>
      </w:r>
      <w:r w:rsidR="00D721AF">
        <w:t>Issuer</w:t>
      </w:r>
      <w:r>
        <w:t xml:space="preserve"> about how the market </w:t>
      </w:r>
      <w:r w:rsidR="00D721AF">
        <w:t xml:space="preserve">for obligations such as the ones the Issuer is contemplating </w:t>
      </w:r>
      <w:r>
        <w:t xml:space="preserve">is changing </w:t>
      </w:r>
      <w:r>
        <w:lastRenderedPageBreak/>
        <w:t xml:space="preserve">and how it will impact the rates, especially in the weeks leading up to the sale.  </w:t>
      </w:r>
      <w:r w:rsidR="00D721AF">
        <w:t>In addition, the Issuer will request that the purchaser, d</w:t>
      </w:r>
      <w:r>
        <w:t>uring the pricing process</w:t>
      </w:r>
      <w:r w:rsidR="00D721AF">
        <w:t xml:space="preserve">, </w:t>
      </w:r>
      <w:r>
        <w:t xml:space="preserve">provide “comparables” to the </w:t>
      </w:r>
      <w:r w:rsidR="00D721AF">
        <w:t>Issuer</w:t>
      </w:r>
      <w:r>
        <w:t xml:space="preserve">, </w:t>
      </w:r>
      <w:r w:rsidR="00D721AF">
        <w:t xml:space="preserve">for purposes of comparing the pricing on the obligations </w:t>
      </w:r>
      <w:r>
        <w:t>against other similarly rated issues in the market</w:t>
      </w:r>
      <w:r w:rsidR="00D721AF">
        <w:t>, including trades posted on EMMA.</w:t>
      </w:r>
    </w:p>
    <w:p w:rsidR="00FB59FE" w:rsidRDefault="00F735A9" w:rsidP="00FC6F45">
      <w:pPr>
        <w:spacing w:before="240"/>
        <w:ind w:left="2160" w:hanging="720"/>
        <w:jc w:val="both"/>
      </w:pPr>
      <w:r w:rsidRPr="00F735A9">
        <w:t>2.</w:t>
      </w:r>
      <w:r w:rsidRPr="00F735A9">
        <w:tab/>
      </w:r>
      <w:r w:rsidR="00FB59FE" w:rsidRPr="0065365C">
        <w:rPr>
          <w:u w:val="single"/>
        </w:rPr>
        <w:t>Proper Use of Proceeds</w:t>
      </w:r>
      <w:r w:rsidR="0018315C" w:rsidRPr="0018315C">
        <w:t xml:space="preserve">.  </w:t>
      </w:r>
      <w:r w:rsidR="00FB59FE">
        <w:t xml:space="preserve">The Compliance Officer shall </w:t>
      </w:r>
      <w:r w:rsidR="002E4AC0">
        <w:t xml:space="preserve">monitor the use of </w:t>
      </w:r>
      <w:r w:rsidR="00FB59FE">
        <w:t xml:space="preserve">proceeds </w:t>
      </w:r>
      <w:r w:rsidR="002E4AC0">
        <w:t xml:space="preserve">of the Obligations </w:t>
      </w:r>
      <w:r w:rsidR="004853C6">
        <w:t xml:space="preserve">so </w:t>
      </w:r>
      <w:r w:rsidR="002E4AC0">
        <w:t xml:space="preserve">that such proceeds </w:t>
      </w:r>
      <w:r w:rsidR="00FB59FE">
        <w:t xml:space="preserve">are allocated to expenditures in a manner that is consistent with the purpose for which each issue </w:t>
      </w:r>
      <w:r w:rsidR="002E4AC0">
        <w:t xml:space="preserve">of Obligations </w:t>
      </w:r>
      <w:r w:rsidR="00FB59FE">
        <w:t xml:space="preserve">is undertaken, as set forth in any tax compliance certificate or agreement related to each </w:t>
      </w:r>
      <w:r w:rsidR="002E4AC0">
        <w:t>issue of Obligations</w:t>
      </w:r>
      <w:r w:rsidR="00FB59FE">
        <w:t>.</w:t>
      </w:r>
    </w:p>
    <w:p w:rsidR="00FB59FE" w:rsidRDefault="00F735A9" w:rsidP="00FC6F45">
      <w:pPr>
        <w:spacing w:before="240"/>
        <w:ind w:left="2160" w:hanging="720"/>
        <w:jc w:val="both"/>
      </w:pPr>
      <w:r>
        <w:t>3</w:t>
      </w:r>
      <w:r w:rsidR="00FB59FE">
        <w:t>.</w:t>
      </w:r>
      <w:r w:rsidR="00FB59FE">
        <w:tab/>
      </w:r>
      <w:r w:rsidR="00FB59FE" w:rsidRPr="0065365C">
        <w:rPr>
          <w:u w:val="single"/>
        </w:rPr>
        <w:t>Investment of Bond Proceeds</w:t>
      </w:r>
      <w:r w:rsidR="0018315C" w:rsidRPr="0018315C">
        <w:t xml:space="preserve">.  </w:t>
      </w:r>
      <w:r w:rsidR="00FB59FE">
        <w:t xml:space="preserve">The Compliance Officer shall </w:t>
      </w:r>
      <w:r w:rsidR="002E4AC0">
        <w:t xml:space="preserve">monitor the investment of proceeds of the Obligations to </w:t>
      </w:r>
      <w:r w:rsidR="00FB59FE">
        <w:t xml:space="preserve">ensure that </w:t>
      </w:r>
      <w:r w:rsidR="002E4AC0">
        <w:t>such</w:t>
      </w:r>
      <w:r w:rsidR="00FB59FE">
        <w:t xml:space="preserve"> proceeds are invested in investments that are permissible under Minnesota Statutes, Chapter</w:t>
      </w:r>
      <w:r w:rsidR="00EA4463">
        <w:t> </w:t>
      </w:r>
      <w:r w:rsidR="00FB59FE">
        <w:t>11</w:t>
      </w:r>
      <w:r w:rsidR="00656AC1">
        <w:t>8</w:t>
      </w:r>
      <w:r w:rsidR="00FB59FE">
        <w:t xml:space="preserve">A, the documents </w:t>
      </w:r>
      <w:r w:rsidR="002E4AC0">
        <w:t>relating to the issuance of the Obligations</w:t>
      </w:r>
      <w:r w:rsidR="004209D8">
        <w:t xml:space="preserve"> and </w:t>
      </w:r>
      <w:r w:rsidR="00FB59FE">
        <w:t>any applicable federal tax.</w:t>
      </w:r>
    </w:p>
    <w:p w:rsidR="00FB59FE" w:rsidRDefault="00F735A9" w:rsidP="00FC6F45">
      <w:pPr>
        <w:spacing w:before="240"/>
        <w:ind w:left="2160" w:hanging="720"/>
        <w:jc w:val="both"/>
      </w:pPr>
      <w:r>
        <w:t>4</w:t>
      </w:r>
      <w:r w:rsidR="0018315C">
        <w:t>.</w:t>
      </w:r>
      <w:r w:rsidR="0018315C">
        <w:tab/>
      </w:r>
      <w:r w:rsidR="00FB59FE" w:rsidRPr="0065365C">
        <w:rPr>
          <w:u w:val="single"/>
        </w:rPr>
        <w:t>Arbitrage Rebate</w:t>
      </w:r>
      <w:r w:rsidR="0018315C">
        <w:t xml:space="preserve">.  </w:t>
      </w:r>
      <w:r w:rsidR="00656AC1">
        <w:t>The Compliance Officer shall monitor the expenditures of proceeds of the Obligations to verify compliance with available exceptions to the arbitrage rebate requirements of the Code and Treasury Regulations.  If the Obligations do not qualify for an exception, t</w:t>
      </w:r>
      <w:r w:rsidR="00FB59FE">
        <w:t xml:space="preserve">he Compliance Officer shall </w:t>
      </w:r>
      <w:r w:rsidR="002E4AC0">
        <w:t xml:space="preserve">see to </w:t>
      </w:r>
      <w:r w:rsidR="00FB59FE">
        <w:t>the timely completion of arbitrage rebate calculations</w:t>
      </w:r>
      <w:r w:rsidR="00A93D24">
        <w:t>,</w:t>
      </w:r>
      <w:r w:rsidR="00FB59FE">
        <w:t xml:space="preserve"> filings</w:t>
      </w:r>
      <w:r w:rsidR="00A93D24">
        <w:t xml:space="preserve"> and payment to the United States Department of the Treasury of any required arbitrage rebate payments</w:t>
      </w:r>
      <w:r w:rsidR="00FB59FE">
        <w:t>.</w:t>
      </w:r>
    </w:p>
    <w:p w:rsidR="00A93D24" w:rsidRDefault="00F735A9" w:rsidP="00FC6F45">
      <w:pPr>
        <w:spacing w:before="240"/>
        <w:ind w:left="2160" w:hanging="720"/>
        <w:jc w:val="both"/>
      </w:pPr>
      <w:r>
        <w:t>5</w:t>
      </w:r>
      <w:r w:rsidR="0018315C">
        <w:t>.</w:t>
      </w:r>
      <w:r w:rsidR="0018315C">
        <w:tab/>
      </w:r>
      <w:r w:rsidR="00A93D24" w:rsidRPr="00A93D24">
        <w:rPr>
          <w:u w:val="single"/>
        </w:rPr>
        <w:t>Yield Reduction Payments and Calculations</w:t>
      </w:r>
      <w:r w:rsidR="0018315C">
        <w:t xml:space="preserve">.  </w:t>
      </w:r>
      <w:r w:rsidR="00A93D24">
        <w:t xml:space="preserve">The Compliance Officer shall </w:t>
      </w:r>
      <w:r w:rsidR="00656AC1">
        <w:t xml:space="preserve">consult with </w:t>
      </w:r>
      <w:r w:rsidR="00DB72B6">
        <w:t>Bond Counsel</w:t>
      </w:r>
      <w:r w:rsidR="00656AC1">
        <w:t xml:space="preserve"> prior to the </w:t>
      </w:r>
      <w:r w:rsidR="00A93D24">
        <w:t>calculation of yield reduction payments, filings and payment to the United States Department of the Treasury of any required yield reduction payments.</w:t>
      </w:r>
    </w:p>
    <w:p w:rsidR="00E25FDE" w:rsidRDefault="00F735A9" w:rsidP="00FC6F45">
      <w:pPr>
        <w:spacing w:before="240"/>
        <w:ind w:left="2160" w:hanging="720"/>
        <w:jc w:val="both"/>
      </w:pPr>
      <w:r>
        <w:t>6</w:t>
      </w:r>
      <w:r w:rsidR="0018315C">
        <w:t>.</w:t>
      </w:r>
      <w:r w:rsidR="0018315C">
        <w:tab/>
      </w:r>
      <w:r w:rsidR="00FB59FE" w:rsidRPr="0065365C">
        <w:rPr>
          <w:u w:val="single"/>
        </w:rPr>
        <w:t>Post-Issuance Transactions</w:t>
      </w:r>
      <w:r w:rsidR="0018315C">
        <w:t xml:space="preserve">.  </w:t>
      </w:r>
      <w:r w:rsidR="00FB59FE">
        <w:t xml:space="preserve">The Compliance Officer shall consult with </w:t>
      </w:r>
      <w:r w:rsidR="00DB72B6">
        <w:t>Bond Counsel</w:t>
      </w:r>
      <w:r w:rsidR="00FB59FE">
        <w:t xml:space="preserve"> </w:t>
      </w:r>
      <w:r w:rsidR="00E25FDE">
        <w:t>as follows:</w:t>
      </w:r>
    </w:p>
    <w:p w:rsidR="00FB59FE" w:rsidRDefault="008E1423" w:rsidP="00FC6F45">
      <w:pPr>
        <w:spacing w:before="240"/>
        <w:ind w:left="2880" w:hanging="720"/>
        <w:jc w:val="both"/>
      </w:pPr>
      <w:r>
        <w:t>a</w:t>
      </w:r>
      <w:r w:rsidR="00E25FDE">
        <w:t>.</w:t>
      </w:r>
      <w:r w:rsidR="00E25FDE">
        <w:tab/>
      </w:r>
      <w:r w:rsidR="00FB59FE">
        <w:t>before making any modifications or amendments to the documents for a</w:t>
      </w:r>
      <w:r w:rsidR="002E4AC0">
        <w:t>n</w:t>
      </w:r>
      <w:r w:rsidR="00FB59FE">
        <w:t xml:space="preserve"> issue</w:t>
      </w:r>
      <w:r w:rsidR="002E4AC0">
        <w:t xml:space="preserve"> of Obligations</w:t>
      </w:r>
      <w:r w:rsidR="00FB59FE">
        <w:t xml:space="preserve">, including, but not limited to, entering or modifying investment agreements; making any change in security for the </w:t>
      </w:r>
      <w:r w:rsidR="002E4AC0">
        <w:t>Obligations</w:t>
      </w:r>
      <w:r w:rsidR="00FB59FE">
        <w:t>; engaging in post-issuance credit enhancement transactions (e.g., bond insurance, letter</w:t>
      </w:r>
      <w:r w:rsidR="002E4AC0">
        <w:t>s</w:t>
      </w:r>
      <w:r w:rsidR="00FB59FE">
        <w:t xml:space="preserve"> of credit) or hedging transactions (e.g., interest rate swap</w:t>
      </w:r>
      <w:r w:rsidR="002E4AC0">
        <w:t>s</w:t>
      </w:r>
      <w:r w:rsidR="00FB59FE">
        <w:t>, cap</w:t>
      </w:r>
      <w:r w:rsidR="002E4AC0">
        <w:t>s</w:t>
      </w:r>
      <w:r w:rsidR="00FB59FE">
        <w:t xml:space="preserve">); terminating or appointing successor trustees; releasing any liens; or reissuing the </w:t>
      </w:r>
      <w:r w:rsidR="002E4AC0">
        <w:t>Obligations</w:t>
      </w:r>
      <w:r w:rsidR="00E25FDE">
        <w:t>; and</w:t>
      </w:r>
    </w:p>
    <w:p w:rsidR="00E25FDE" w:rsidRDefault="008E1423" w:rsidP="00FC6F45">
      <w:pPr>
        <w:spacing w:before="240"/>
        <w:ind w:left="2880" w:hanging="720"/>
        <w:jc w:val="both"/>
      </w:pPr>
      <w:r>
        <w:t>b</w:t>
      </w:r>
      <w:r w:rsidR="00E25FDE">
        <w:t>.</w:t>
      </w:r>
      <w:r w:rsidR="00E25FDE">
        <w:tab/>
        <w:t xml:space="preserve">in the event the </w:t>
      </w:r>
      <w:r w:rsidR="00E24B3C">
        <w:t>Issuer</w:t>
      </w:r>
      <w:r w:rsidR="00E25FDE">
        <w:t xml:space="preserve"> determines to change the use of any facilities financed with an issue of Obligations.  For purposes of the foregoing</w:t>
      </w:r>
      <w:r w:rsidR="008703BE">
        <w:t>,</w:t>
      </w:r>
      <w:r w:rsidR="00E25FDE">
        <w:t xml:space="preserve"> “change of use” includes the lease, management or </w:t>
      </w:r>
      <w:r w:rsidR="00E25FDE">
        <w:lastRenderedPageBreak/>
        <w:t xml:space="preserve">use of any portion of the financed facilities by a person or entity other than the </w:t>
      </w:r>
      <w:r w:rsidR="00E24B3C">
        <w:t>Issuer</w:t>
      </w:r>
      <w:r w:rsidR="00E25FDE">
        <w:t>.</w:t>
      </w:r>
    </w:p>
    <w:p w:rsidR="00FB59FE" w:rsidRDefault="00F735A9" w:rsidP="00FC6F45">
      <w:pPr>
        <w:spacing w:before="240"/>
        <w:ind w:left="2160" w:hanging="720"/>
        <w:jc w:val="both"/>
      </w:pPr>
      <w:r>
        <w:t>7</w:t>
      </w:r>
      <w:r w:rsidR="0018315C">
        <w:t>.</w:t>
      </w:r>
      <w:r w:rsidR="0018315C">
        <w:tab/>
      </w:r>
      <w:r w:rsidR="00FB59FE" w:rsidRPr="0065365C">
        <w:rPr>
          <w:u w:val="single"/>
        </w:rPr>
        <w:t>Remedial Action</w:t>
      </w:r>
      <w:r w:rsidR="0018315C">
        <w:t xml:space="preserve">.  </w:t>
      </w:r>
      <w:r w:rsidR="0055014D" w:rsidRPr="0055014D">
        <w:t xml:space="preserve">The Compliance Officer shall be aware of options for voluntary corrections for failure to comply with post-issuance compliance requirements (such as remedial actions under Section 1.141-12 of the Regulations and </w:t>
      </w:r>
      <w:r w:rsidR="00160E8F">
        <w:t>VCAP</w:t>
      </w:r>
      <w:r w:rsidR="0055014D" w:rsidRPr="0055014D">
        <w:t xml:space="preserve">). </w:t>
      </w:r>
      <w:r w:rsidR="0055014D">
        <w:t xml:space="preserve"> </w:t>
      </w:r>
      <w:r w:rsidR="00FB59FE">
        <w:t xml:space="preserve">In the event that it is determined that any use of proceeds </w:t>
      </w:r>
      <w:r w:rsidR="002E4AC0">
        <w:t xml:space="preserve">of </w:t>
      </w:r>
      <w:r w:rsidR="00E25FDE">
        <w:t xml:space="preserve">or facilities financed by </w:t>
      </w:r>
      <w:r w:rsidR="002E4AC0">
        <w:t xml:space="preserve">the Obligations </w:t>
      </w:r>
      <w:r w:rsidR="00FB59FE">
        <w:t xml:space="preserve">is inconsistent with the character of the status for federal income tax purposes of the </w:t>
      </w:r>
      <w:r w:rsidR="002E4AC0">
        <w:t>Obligations</w:t>
      </w:r>
      <w:r w:rsidR="00FB59FE">
        <w:t xml:space="preserve">, the Compliance Officer shall consult with </w:t>
      </w:r>
      <w:r w:rsidR="00DB72B6">
        <w:t>Bond Counsel</w:t>
      </w:r>
      <w:r w:rsidR="00FB59FE">
        <w:t xml:space="preserve"> for the purpose of determining the nature and extent of any remedial action necessary or proper for </w:t>
      </w:r>
      <w:r w:rsidR="002E4AC0">
        <w:t xml:space="preserve">the </w:t>
      </w:r>
      <w:r w:rsidR="00E24B3C">
        <w:t>Issuer</w:t>
      </w:r>
      <w:r w:rsidR="00FB59FE">
        <w:t xml:space="preserve"> to take with respect to such </w:t>
      </w:r>
      <w:r w:rsidR="002E4AC0">
        <w:t>Obligations</w:t>
      </w:r>
      <w:r w:rsidR="00F27678">
        <w:t>, including participation in VCAP</w:t>
      </w:r>
      <w:r w:rsidR="00DA5E70">
        <w:t>.</w:t>
      </w:r>
    </w:p>
    <w:p w:rsidR="00DA5E70" w:rsidRPr="00DA5E70" w:rsidRDefault="00F735A9" w:rsidP="00FC6F45">
      <w:pPr>
        <w:spacing w:before="240"/>
        <w:ind w:left="2160" w:hanging="720"/>
        <w:jc w:val="both"/>
      </w:pPr>
      <w:r>
        <w:t>8</w:t>
      </w:r>
      <w:r w:rsidR="00DA5E70">
        <w:t>.</w:t>
      </w:r>
      <w:r w:rsidR="00DA5E70">
        <w:tab/>
      </w:r>
      <w:r w:rsidR="00DA5E70">
        <w:rPr>
          <w:u w:val="single"/>
        </w:rPr>
        <w:t>Tax Credit Bonds</w:t>
      </w:r>
      <w:r w:rsidR="00DA5E70">
        <w:t xml:space="preserve">.  The Compliance Officer will consult with </w:t>
      </w:r>
      <w:r w:rsidR="00DB72B6">
        <w:t>Bond Counsel</w:t>
      </w:r>
      <w:r w:rsidR="00DA5E70">
        <w:t xml:space="preserve"> regarding federal income tax requirements unique to any tax credit bonds issued by the Issuer</w:t>
      </w:r>
      <w:r w:rsidR="00693DCF">
        <w:t xml:space="preserve"> and any monitoring procedures that need to be put into place by the Issuer in order to </w:t>
      </w:r>
      <w:r w:rsidR="00B65108">
        <w:t>achieve tax compliance</w:t>
      </w:r>
      <w:r w:rsidR="00DA5E70">
        <w:t>.</w:t>
      </w:r>
    </w:p>
    <w:p w:rsidR="00FB59FE" w:rsidRPr="0065365C" w:rsidRDefault="008E1423" w:rsidP="00FC6F45">
      <w:pPr>
        <w:keepNext/>
        <w:spacing w:before="240"/>
        <w:ind w:left="1440" w:hanging="720"/>
        <w:jc w:val="both"/>
        <w:rPr>
          <w:b/>
        </w:rPr>
      </w:pPr>
      <w:r>
        <w:rPr>
          <w:b/>
        </w:rPr>
        <w:t>D</w:t>
      </w:r>
      <w:r w:rsidR="00FB59FE" w:rsidRPr="0065365C">
        <w:rPr>
          <w:b/>
        </w:rPr>
        <w:t>.</w:t>
      </w:r>
      <w:r w:rsidR="00FB59FE" w:rsidRPr="0065365C">
        <w:rPr>
          <w:b/>
        </w:rPr>
        <w:tab/>
        <w:t>Federal Securities Law Compliance</w:t>
      </w:r>
    </w:p>
    <w:p w:rsidR="00FB59FE" w:rsidRDefault="008E1423" w:rsidP="00FC6F45">
      <w:pPr>
        <w:spacing w:before="240"/>
        <w:ind w:left="2160" w:hanging="720"/>
        <w:jc w:val="both"/>
      </w:pPr>
      <w:r>
        <w:t>1</w:t>
      </w:r>
      <w:r w:rsidR="00FB59FE">
        <w:t>.</w:t>
      </w:r>
      <w:r w:rsidR="00FB59FE">
        <w:tab/>
      </w:r>
      <w:r w:rsidR="0055014D" w:rsidRPr="0055014D">
        <w:rPr>
          <w:u w:val="single"/>
        </w:rPr>
        <w:t>General</w:t>
      </w:r>
      <w:r w:rsidR="0055014D">
        <w:t xml:space="preserve">.  </w:t>
      </w:r>
      <w:r w:rsidR="00FB59FE">
        <w:t xml:space="preserve">The Compliance Officer shall </w:t>
      </w:r>
      <w:r w:rsidR="002E4AC0">
        <w:t>monitor</w:t>
      </w:r>
      <w:r w:rsidR="00FB59FE">
        <w:t xml:space="preserve"> compliance with all applicable federal securities laws and regulations, including the continuing disclosure requirements of Rule 15c2-12 promulgated under the Securities Exchange Act of 1934.</w:t>
      </w:r>
    </w:p>
    <w:p w:rsidR="0055014D" w:rsidRDefault="0055014D" w:rsidP="00FC6F45">
      <w:pPr>
        <w:spacing w:before="240"/>
        <w:ind w:left="2160" w:hanging="720"/>
        <w:jc w:val="both"/>
      </w:pPr>
      <w:r w:rsidRPr="0055014D">
        <w:t>2.</w:t>
      </w:r>
      <w:r w:rsidRPr="0055014D">
        <w:tab/>
      </w:r>
      <w:r w:rsidRPr="00BC7AB8">
        <w:rPr>
          <w:u w:val="single"/>
        </w:rPr>
        <w:t>Official Statements</w:t>
      </w:r>
      <w:r>
        <w:t xml:space="preserve">.  The Compliance Officer shall monitor compliance with all applicable federal securities laws and regulations and shall timely identify those who, for a particular financing, are appropriate to assist </w:t>
      </w:r>
      <w:r w:rsidR="00DB72B6">
        <w:t>Bond Counsel</w:t>
      </w:r>
      <w:r>
        <w:t>, underwriter(s), underwriter’s counsel, financial advisors, and appropriate staff in the preparation and review of the related Official Statement.  Staff identified to assist with preparation or review of the Official Statement shall be contacted as soon as reasonably practical in order to provide adequate time for such individuals to perform a thoughtful and critical review or draft of those portions of the Official Statement assigned to them.</w:t>
      </w:r>
    </w:p>
    <w:p w:rsidR="0055014D" w:rsidRDefault="00FC6F45" w:rsidP="00FC6F45">
      <w:pPr>
        <w:spacing w:before="240"/>
        <w:ind w:left="2880" w:hanging="720"/>
        <w:jc w:val="both"/>
      </w:pPr>
      <w:r>
        <w:t>a.</w:t>
      </w:r>
      <w:r>
        <w:tab/>
      </w:r>
      <w:r w:rsidR="0055014D">
        <w:t>Any request to assist with preparation or review of the Official Statement shall provide that the person assisting must raise any item which could be material for inclusion in the Official Statement.</w:t>
      </w:r>
    </w:p>
    <w:p w:rsidR="0055014D" w:rsidRDefault="00FC6F45" w:rsidP="00FC6F45">
      <w:pPr>
        <w:spacing w:before="240"/>
        <w:ind w:left="2880" w:hanging="720"/>
        <w:jc w:val="both"/>
      </w:pPr>
      <w:r>
        <w:t>b.</w:t>
      </w:r>
      <w:r>
        <w:tab/>
      </w:r>
      <w:r w:rsidR="0055014D">
        <w:t>The Issuer’s external auditors should be notified of the Issuer’s schedule for publishing the Official Statement.</w:t>
      </w:r>
    </w:p>
    <w:p w:rsidR="0055014D" w:rsidRDefault="00FC6F45" w:rsidP="00FC6F45">
      <w:pPr>
        <w:spacing w:before="240"/>
        <w:ind w:left="2880" w:hanging="720"/>
        <w:jc w:val="both"/>
      </w:pPr>
      <w:r>
        <w:t>c.</w:t>
      </w:r>
      <w:r>
        <w:tab/>
      </w:r>
      <w:r w:rsidR="0055014D">
        <w:t xml:space="preserve">Confirmation that no material changes exist with respect to Official Statements shall be requested from </w:t>
      </w:r>
      <w:r w:rsidR="002A0691">
        <w:t>counsel to the Issuer</w:t>
      </w:r>
      <w:r w:rsidR="0055014D">
        <w:t>.</w:t>
      </w:r>
    </w:p>
    <w:p w:rsidR="00FB59FE" w:rsidRDefault="0055014D" w:rsidP="00FC6F45">
      <w:pPr>
        <w:spacing w:before="240"/>
        <w:ind w:left="2160" w:hanging="720"/>
        <w:jc w:val="both"/>
      </w:pPr>
      <w:r>
        <w:lastRenderedPageBreak/>
        <w:t>3.</w:t>
      </w:r>
      <w:r>
        <w:tab/>
      </w:r>
      <w:r w:rsidRPr="00BC7AB8">
        <w:rPr>
          <w:u w:val="single"/>
        </w:rPr>
        <w:t>Continuing Disclosure</w:t>
      </w:r>
      <w:r>
        <w:t xml:space="preserve">.  The Compliance Officer will review each continuing disclosure undertaking of the </w:t>
      </w:r>
      <w:r w:rsidR="00F411F2">
        <w:t>Issuer</w:t>
      </w:r>
      <w:r>
        <w:t xml:space="preserve"> to determine the financial and operating information required to be filed annually by the Issuer with </w:t>
      </w:r>
      <w:r w:rsidR="00160E8F">
        <w:t xml:space="preserve">the MSRB </w:t>
      </w:r>
      <w:r>
        <w:t xml:space="preserve">on </w:t>
      </w:r>
      <w:r w:rsidR="00160E8F">
        <w:t>EMMA</w:t>
      </w:r>
      <w:r>
        <w:t>.  T</w:t>
      </w:r>
      <w:r w:rsidR="00FB59FE">
        <w:t>he Compliance Officer shall:</w:t>
      </w:r>
    </w:p>
    <w:p w:rsidR="00FB59FE" w:rsidRDefault="008E1423" w:rsidP="00FC6F45">
      <w:pPr>
        <w:spacing w:before="240"/>
        <w:ind w:left="2880" w:hanging="720"/>
        <w:jc w:val="both"/>
      </w:pPr>
      <w:r>
        <w:t>a</w:t>
      </w:r>
      <w:r w:rsidR="00A93D24">
        <w:t>.</w:t>
      </w:r>
      <w:r w:rsidR="00A93D24">
        <w:tab/>
      </w:r>
      <w:r w:rsidR="00C92983">
        <w:t>o</w:t>
      </w:r>
      <w:r w:rsidR="00FB59FE">
        <w:t xml:space="preserve">n an annual basis, submit </w:t>
      </w:r>
      <w:r w:rsidR="00C92983">
        <w:t xml:space="preserve">the </w:t>
      </w:r>
      <w:r w:rsidR="00E24B3C">
        <w:t>Issuer</w:t>
      </w:r>
      <w:r w:rsidR="00C92983">
        <w:t xml:space="preserve">’s </w:t>
      </w:r>
      <w:r w:rsidR="00FB59FE">
        <w:t xml:space="preserve">audited financial statements to the entities required by the </w:t>
      </w:r>
      <w:r w:rsidR="00C92983">
        <w:t xml:space="preserve">applicable </w:t>
      </w:r>
      <w:r w:rsidR="00784D17">
        <w:t>continuing disclosure undertaking</w:t>
      </w:r>
      <w:r w:rsidR="00C92983">
        <w:t xml:space="preserve"> and </w:t>
      </w:r>
      <w:r w:rsidR="00FB59FE">
        <w:t>documents</w:t>
      </w:r>
      <w:r w:rsidR="00C92983">
        <w:t xml:space="preserve"> relating to the Obligations;</w:t>
      </w:r>
    </w:p>
    <w:p w:rsidR="00C92983" w:rsidRDefault="008E1423" w:rsidP="00FC6F45">
      <w:pPr>
        <w:spacing w:before="240"/>
        <w:ind w:left="2880" w:hanging="720"/>
        <w:jc w:val="both"/>
      </w:pPr>
      <w:r>
        <w:t>b</w:t>
      </w:r>
      <w:r w:rsidR="00A93D24">
        <w:t>.</w:t>
      </w:r>
      <w:r w:rsidR="00A93D24">
        <w:tab/>
      </w:r>
      <w:r w:rsidR="00C92983">
        <w:t xml:space="preserve">at such times required by any </w:t>
      </w:r>
      <w:r w:rsidR="00784D17">
        <w:t>continuing disclosure undertaking</w:t>
      </w:r>
      <w:r w:rsidR="00C92983">
        <w:t xml:space="preserve">, submit an annual financial report including any operational information required by a </w:t>
      </w:r>
      <w:r w:rsidR="00784D17">
        <w:t>continuing disclosure undertaking</w:t>
      </w:r>
      <w:r w:rsidR="00C92983">
        <w:t xml:space="preserve">, to the entities required by the applicable </w:t>
      </w:r>
      <w:r w:rsidR="00784D17">
        <w:t>continuing disclosure undertaking</w:t>
      </w:r>
      <w:r w:rsidR="00C92983">
        <w:t xml:space="preserve"> and documents relating to the Obligations; and</w:t>
      </w:r>
    </w:p>
    <w:p w:rsidR="00C92983" w:rsidRDefault="008E1423" w:rsidP="00FC6F45">
      <w:pPr>
        <w:spacing w:before="240"/>
        <w:ind w:left="2880" w:hanging="720"/>
        <w:jc w:val="both"/>
      </w:pPr>
      <w:r>
        <w:t>c</w:t>
      </w:r>
      <w:r w:rsidR="00C92983">
        <w:t>.</w:t>
      </w:r>
      <w:r w:rsidR="00C92983">
        <w:tab/>
        <w:t>m</w:t>
      </w:r>
      <w:r w:rsidR="00FB59FE">
        <w:t xml:space="preserve">ake a timely report of any significant material events (as defined by the </w:t>
      </w:r>
      <w:r w:rsidR="00C92983">
        <w:t xml:space="preserve">applicable </w:t>
      </w:r>
      <w:r w:rsidR="00FB59FE">
        <w:t xml:space="preserve">disclosure agreement) related to </w:t>
      </w:r>
      <w:r w:rsidR="002E4AC0">
        <w:t xml:space="preserve">the </w:t>
      </w:r>
      <w:r w:rsidR="00E24B3C">
        <w:t>Issuer</w:t>
      </w:r>
      <w:r w:rsidR="00FB59FE">
        <w:t xml:space="preserve">’s outstanding </w:t>
      </w:r>
      <w:r w:rsidR="00C92983">
        <w:t>Obligations</w:t>
      </w:r>
      <w:r w:rsidR="00FB59FE">
        <w:t xml:space="preserve"> to the entities required by the </w:t>
      </w:r>
      <w:r w:rsidR="00C92983">
        <w:t>documents relating to the Obligations.</w:t>
      </w:r>
    </w:p>
    <w:p w:rsidR="0055014D" w:rsidRDefault="0055014D" w:rsidP="00FC6F45">
      <w:pPr>
        <w:keepNext/>
        <w:spacing w:before="240"/>
        <w:ind w:left="2160" w:hanging="720"/>
        <w:jc w:val="both"/>
      </w:pPr>
      <w:r>
        <w:t>4.</w:t>
      </w:r>
      <w:r>
        <w:tab/>
      </w:r>
      <w:r w:rsidRPr="00BC7AB8">
        <w:rPr>
          <w:u w:val="single"/>
        </w:rPr>
        <w:t>Material Events</w:t>
      </w:r>
      <w:r>
        <w:t>.</w:t>
      </w:r>
    </w:p>
    <w:p w:rsidR="0055014D" w:rsidRDefault="0055014D" w:rsidP="00FC6F45">
      <w:pPr>
        <w:spacing w:before="240"/>
        <w:ind w:left="2880" w:hanging="720"/>
        <w:jc w:val="both"/>
      </w:pPr>
      <w:r>
        <w:t>a.</w:t>
      </w:r>
      <w:r>
        <w:tab/>
        <w:t xml:space="preserve">The Compliance Officer shall make a timely report of any significant material events (as defined by the applicable disclosure undertaking) related to the </w:t>
      </w:r>
      <w:r w:rsidR="00784D17">
        <w:t xml:space="preserve">Issuer’s </w:t>
      </w:r>
      <w:r>
        <w:t>outstanding Obligations to the MSRB on EMMA and any other entities required by the documents relating to the Obligations.</w:t>
      </w:r>
    </w:p>
    <w:p w:rsidR="0055014D" w:rsidRDefault="0055014D" w:rsidP="00FC6F45">
      <w:pPr>
        <w:spacing w:before="240"/>
        <w:ind w:left="2880" w:hanging="720"/>
        <w:jc w:val="both"/>
      </w:pPr>
      <w:r>
        <w:t>b.</w:t>
      </w:r>
      <w:r>
        <w:tab/>
        <w:t xml:space="preserve">If the Compliance Officer obtains actual knowledge of the occurrence of any event that the Compliance Officer believes may constitute an event requiring disclosure, the Compliance Officer will contact </w:t>
      </w:r>
      <w:r w:rsidR="00DB72B6">
        <w:t>Bond Counsel</w:t>
      </w:r>
      <w:r>
        <w:t xml:space="preserve"> to determine if notice of the event is required to be given to the MSRB under the continuing disclosure undertakings. If it is determined that notice should be provided to the MSRB or is required to be provided to the MSRB by the continuing disclosure undertaking, the Compliance Officer will cause the appropriate notice to be filed with the MSRB on EMMA within 10 business days after the occurrence of the event or as otherwise directed by </w:t>
      </w:r>
      <w:r w:rsidR="00DB72B6">
        <w:t>Bond Counsel</w:t>
      </w:r>
      <w:r>
        <w:t>.</w:t>
      </w:r>
    </w:p>
    <w:p w:rsidR="00FB59FE" w:rsidRDefault="008E1423" w:rsidP="00FC6F45">
      <w:pPr>
        <w:keepNext/>
        <w:spacing w:before="240"/>
        <w:ind w:left="1440" w:hanging="720"/>
        <w:jc w:val="both"/>
        <w:rPr>
          <w:b/>
        </w:rPr>
      </w:pPr>
      <w:r>
        <w:rPr>
          <w:b/>
        </w:rPr>
        <w:t>E</w:t>
      </w:r>
      <w:r w:rsidR="00FB59FE" w:rsidRPr="0065365C">
        <w:rPr>
          <w:b/>
        </w:rPr>
        <w:t>.</w:t>
      </w:r>
      <w:r w:rsidR="00FB59FE" w:rsidRPr="0065365C">
        <w:rPr>
          <w:b/>
        </w:rPr>
        <w:tab/>
        <w:t>Recordkeeping</w:t>
      </w:r>
    </w:p>
    <w:p w:rsidR="00FB59FE" w:rsidRPr="0065365C" w:rsidRDefault="008E1423" w:rsidP="00FC6F45">
      <w:pPr>
        <w:keepNext/>
        <w:spacing w:before="240"/>
        <w:ind w:left="2160" w:hanging="720"/>
        <w:jc w:val="both"/>
        <w:rPr>
          <w:u w:val="single"/>
        </w:rPr>
      </w:pPr>
      <w:r>
        <w:t>1</w:t>
      </w:r>
      <w:r w:rsidR="00FB59FE">
        <w:t>.</w:t>
      </w:r>
      <w:r w:rsidR="00FB59FE">
        <w:tab/>
      </w:r>
      <w:r w:rsidR="00FB59FE" w:rsidRPr="0065365C">
        <w:rPr>
          <w:u w:val="single"/>
        </w:rPr>
        <w:t>Responsibility for Records Maintenance</w:t>
      </w:r>
    </w:p>
    <w:p w:rsidR="00FB59FE" w:rsidRDefault="008E1423" w:rsidP="00FC6F45">
      <w:pPr>
        <w:spacing w:before="240"/>
        <w:ind w:left="2880" w:hanging="720"/>
        <w:jc w:val="both"/>
      </w:pPr>
      <w:r>
        <w:t>a</w:t>
      </w:r>
      <w:r w:rsidR="00FB59FE">
        <w:t>.</w:t>
      </w:r>
      <w:r w:rsidR="00FB59FE">
        <w:tab/>
        <w:t xml:space="preserve">The Compliance Officer </w:t>
      </w:r>
      <w:r w:rsidR="00A93D24">
        <w:t xml:space="preserve">is </w:t>
      </w:r>
      <w:r w:rsidR="00FB59FE">
        <w:t xml:space="preserve">responsible for maintaining records related to </w:t>
      </w:r>
      <w:r w:rsidR="001B626B">
        <w:t>Obligations</w:t>
      </w:r>
      <w:r w:rsidR="00FB59FE">
        <w:t xml:space="preserve"> of </w:t>
      </w:r>
      <w:r w:rsidR="002E4AC0">
        <w:t xml:space="preserve">the </w:t>
      </w:r>
      <w:r w:rsidR="00E24B3C">
        <w:t>Issuer</w:t>
      </w:r>
      <w:r w:rsidR="00FB59FE">
        <w:t>.</w:t>
      </w:r>
    </w:p>
    <w:p w:rsidR="00FB59FE" w:rsidRDefault="008E1423" w:rsidP="00FC6F45">
      <w:pPr>
        <w:spacing w:before="240"/>
        <w:ind w:left="2880" w:hanging="720"/>
        <w:jc w:val="both"/>
      </w:pPr>
      <w:r>
        <w:lastRenderedPageBreak/>
        <w:t>b</w:t>
      </w:r>
      <w:r w:rsidR="00FB59FE">
        <w:t>.</w:t>
      </w:r>
      <w:r w:rsidR="00FB59FE">
        <w:tab/>
        <w:t xml:space="preserve">The Compliance Officer shall maintain a central list of </w:t>
      </w:r>
      <w:r w:rsidR="00AD4C72">
        <w:t xml:space="preserve">the </w:t>
      </w:r>
      <w:r w:rsidR="00FB59FE">
        <w:t xml:space="preserve">records related to each issue of </w:t>
      </w:r>
      <w:r w:rsidR="00C34893">
        <w:t>tax-exempt</w:t>
      </w:r>
      <w:r w:rsidR="001B626B">
        <w:t xml:space="preserve"> Obligations</w:t>
      </w:r>
      <w:r w:rsidR="00FB59FE">
        <w:t xml:space="preserve">. </w:t>
      </w:r>
      <w:r w:rsidR="00104BF4">
        <w:t xml:space="preserve"> </w:t>
      </w:r>
      <w:r w:rsidR="00FB59FE">
        <w:t>The list shall identify</w:t>
      </w:r>
      <w:r w:rsidR="00AD4C72">
        <w:t xml:space="preserve"> all physical or electronic locations for any records relating to an issue of Obligations and the person or persons responsible for maintaining such records.</w:t>
      </w:r>
    </w:p>
    <w:p w:rsidR="00FB59FE" w:rsidRPr="0065365C" w:rsidRDefault="008E1423" w:rsidP="00FC6F45">
      <w:pPr>
        <w:keepNext/>
        <w:spacing w:before="240"/>
        <w:ind w:left="2160" w:hanging="720"/>
        <w:jc w:val="both"/>
        <w:rPr>
          <w:u w:val="single"/>
        </w:rPr>
      </w:pPr>
      <w:r>
        <w:t>2</w:t>
      </w:r>
      <w:r w:rsidR="00FB59FE">
        <w:t>.</w:t>
      </w:r>
      <w:r w:rsidR="00FB59FE">
        <w:tab/>
      </w:r>
      <w:r w:rsidR="00FB59FE" w:rsidRPr="0065365C">
        <w:rPr>
          <w:u w:val="single"/>
        </w:rPr>
        <w:t>Bond Records to be Maintained</w:t>
      </w:r>
    </w:p>
    <w:p w:rsidR="00FB59FE" w:rsidRDefault="008E1423" w:rsidP="00FC6F45">
      <w:pPr>
        <w:spacing w:before="240"/>
        <w:ind w:left="2880" w:hanging="720"/>
        <w:jc w:val="both"/>
      </w:pPr>
      <w:r>
        <w:t>a</w:t>
      </w:r>
      <w:r w:rsidR="00FB59FE">
        <w:t>.</w:t>
      </w:r>
      <w:r w:rsidR="00FB59FE">
        <w:tab/>
        <w:t>The following records shall be maintained for each outstanding issue</w:t>
      </w:r>
      <w:r w:rsidR="001B626B">
        <w:t xml:space="preserve"> of Obligations</w:t>
      </w:r>
      <w:r w:rsidR="00FB59FE">
        <w:t xml:space="preserve"> for the term of the</w:t>
      </w:r>
      <w:r w:rsidR="00784D17">
        <w:t xml:space="preserve"> outstanding</w:t>
      </w:r>
      <w:r w:rsidR="00FB59FE">
        <w:t xml:space="preserve"> issue</w:t>
      </w:r>
      <w:r w:rsidR="00AD4C72">
        <w:t xml:space="preserve"> </w:t>
      </w:r>
      <w:r w:rsidR="00FB59FE">
        <w:t>plus three years:</w:t>
      </w:r>
    </w:p>
    <w:p w:rsidR="00FB59FE" w:rsidRDefault="008E1423" w:rsidP="00FC6F45">
      <w:pPr>
        <w:spacing w:before="240"/>
        <w:ind w:left="3600" w:hanging="720"/>
        <w:jc w:val="both"/>
      </w:pPr>
      <w:r>
        <w:t>i</w:t>
      </w:r>
      <w:r w:rsidR="00FB59FE">
        <w:t>.</w:t>
      </w:r>
      <w:r w:rsidR="00FB59FE">
        <w:tab/>
      </w:r>
      <w:r w:rsidR="00AD4C72">
        <w:t>b</w:t>
      </w:r>
      <w:r w:rsidR="00FB59FE">
        <w:t xml:space="preserve">asic records relating to the transaction, including the trust indenture, loan, lease or other financing agreement, the relevant </w:t>
      </w:r>
      <w:r w:rsidR="00C9485E">
        <w:t>IRS</w:t>
      </w:r>
      <w:r w:rsidR="00FB59FE">
        <w:t xml:space="preserve"> Form 8038</w:t>
      </w:r>
      <w:r w:rsidR="00656AC1">
        <w:t>-G</w:t>
      </w:r>
      <w:r w:rsidR="00FB59FE">
        <w:t xml:space="preserve"> with proof of filing, and </w:t>
      </w:r>
      <w:r w:rsidR="00DB72B6">
        <w:t>Bond Counsel</w:t>
      </w:r>
      <w:r w:rsidR="00FB59FE">
        <w:t xml:space="preserve"> opinion</w:t>
      </w:r>
      <w:r w:rsidR="00AD4C72">
        <w:t xml:space="preserve"> (such documents may be held in the form of a bond transcript)</w:t>
      </w:r>
      <w:r w:rsidR="00FB59FE">
        <w:t>; and</w:t>
      </w:r>
    </w:p>
    <w:p w:rsidR="00FB59FE" w:rsidRDefault="008E1423" w:rsidP="00FC6F45">
      <w:pPr>
        <w:spacing w:before="240"/>
        <w:ind w:left="3600" w:hanging="720"/>
        <w:jc w:val="both"/>
      </w:pPr>
      <w:r>
        <w:t>ii</w:t>
      </w:r>
      <w:r w:rsidR="00A93D24">
        <w:t>.</w:t>
      </w:r>
      <w:r w:rsidR="00A93D24">
        <w:tab/>
      </w:r>
      <w:r w:rsidR="00AD4C72">
        <w:t>d</w:t>
      </w:r>
      <w:r w:rsidR="00FB59FE">
        <w:t xml:space="preserve">ocumentation pertaining to investment of </w:t>
      </w:r>
      <w:r w:rsidR="00AD4C72">
        <w:t>the</w:t>
      </w:r>
      <w:r w:rsidR="00FB59FE">
        <w:t xml:space="preserve"> proceeds</w:t>
      </w:r>
      <w:r w:rsidR="00AD4C72">
        <w:t xml:space="preserve"> of the Obligations</w:t>
      </w:r>
      <w:r w:rsidR="00FB59FE">
        <w:t xml:space="preserve">, including the yield calculations for each class of investments, actual investment income received from the investment of proceeds and rebate calculations shall be </w:t>
      </w:r>
      <w:r w:rsidR="00107418">
        <w:t xml:space="preserve">held in and </w:t>
      </w:r>
      <w:r w:rsidR="00FB59FE">
        <w:t>maintained by the Compliance Officer’s office.</w:t>
      </w:r>
    </w:p>
    <w:p w:rsidR="00784D17" w:rsidRDefault="00784D17" w:rsidP="00FC6F45">
      <w:pPr>
        <w:spacing w:before="240"/>
        <w:ind w:left="3600" w:hanging="720"/>
        <w:jc w:val="both"/>
      </w:pPr>
      <w:r>
        <w:t>iii.</w:t>
      </w:r>
      <w:r>
        <w:tab/>
        <w:t>log of all individuals, departments or affiliates that were requested to review or draft information in connection with an Official Statem</w:t>
      </w:r>
      <w:r w:rsidR="00FC6F45">
        <w:t>ent;</w:t>
      </w:r>
    </w:p>
    <w:p w:rsidR="00784D17" w:rsidRDefault="00784D17" w:rsidP="00FC6F45">
      <w:pPr>
        <w:spacing w:before="240"/>
        <w:ind w:left="3600" w:hanging="720"/>
        <w:jc w:val="both"/>
      </w:pPr>
      <w:r>
        <w:t>iv.</w:t>
      </w:r>
      <w:r>
        <w:tab/>
        <w:t>disclosure documents, investor materials, rating agency presentation materials, annual continuing disclosure filings and records of all disclosure activities, including but not limited to telephone calls, emails and inquiries from investors.</w:t>
      </w:r>
    </w:p>
    <w:p w:rsidR="00FB59FE" w:rsidRDefault="008E1423" w:rsidP="00FB1370">
      <w:pPr>
        <w:spacing w:before="240"/>
        <w:ind w:left="2160" w:hanging="720"/>
        <w:jc w:val="both"/>
      </w:pPr>
      <w:r>
        <w:t>b</w:t>
      </w:r>
      <w:r w:rsidR="00FB59FE">
        <w:t>.</w:t>
      </w:r>
      <w:r w:rsidR="00FB59FE">
        <w:tab/>
        <w:t xml:space="preserve">The Compliance Officer shall maintain </w:t>
      </w:r>
      <w:r w:rsidR="002E4AC0">
        <w:t xml:space="preserve">the </w:t>
      </w:r>
      <w:r w:rsidR="00E24B3C">
        <w:t>Issuer</w:t>
      </w:r>
      <w:r w:rsidR="00FB59FE">
        <w:t>’s audited financial statements for not less than seven years.</w:t>
      </w:r>
    </w:p>
    <w:p w:rsidR="008E1423" w:rsidRDefault="008E1423" w:rsidP="00FC6F45">
      <w:pPr>
        <w:keepNext/>
        <w:spacing w:before="240"/>
        <w:ind w:left="1440" w:hanging="720"/>
        <w:jc w:val="both"/>
        <w:rPr>
          <w:b/>
        </w:rPr>
      </w:pPr>
      <w:r>
        <w:rPr>
          <w:b/>
        </w:rPr>
        <w:t>F</w:t>
      </w:r>
      <w:r w:rsidR="00FB59FE" w:rsidRPr="0065365C">
        <w:rPr>
          <w:b/>
        </w:rPr>
        <w:t>.</w:t>
      </w:r>
      <w:r w:rsidR="00FB59FE" w:rsidRPr="0065365C">
        <w:rPr>
          <w:b/>
        </w:rPr>
        <w:tab/>
      </w:r>
      <w:r w:rsidR="00AD4C72">
        <w:rPr>
          <w:b/>
        </w:rPr>
        <w:t>B</w:t>
      </w:r>
      <w:r w:rsidR="002E4AC0">
        <w:rPr>
          <w:b/>
        </w:rPr>
        <w:t xml:space="preserve">ond </w:t>
      </w:r>
      <w:r w:rsidR="00AD4C72">
        <w:rPr>
          <w:b/>
        </w:rPr>
        <w:t>C</w:t>
      </w:r>
      <w:r w:rsidR="002E4AC0">
        <w:rPr>
          <w:b/>
        </w:rPr>
        <w:t>ounsel</w:t>
      </w:r>
      <w:r w:rsidR="00FB59FE" w:rsidRPr="0065365C">
        <w:rPr>
          <w:b/>
        </w:rPr>
        <w:t xml:space="preserve"> Review</w:t>
      </w:r>
      <w:r w:rsidR="006E4944">
        <w:rPr>
          <w:b/>
        </w:rPr>
        <w:t>.</w:t>
      </w:r>
    </w:p>
    <w:p w:rsidR="00FB59FE" w:rsidRDefault="00FB59FE" w:rsidP="00FC6F45">
      <w:pPr>
        <w:spacing w:before="240"/>
        <w:ind w:left="1440"/>
        <w:jc w:val="both"/>
      </w:pPr>
      <w:r>
        <w:t xml:space="preserve">The Compliance Officer may engage </w:t>
      </w:r>
      <w:r w:rsidR="00DB72B6">
        <w:t>Bond Counsel</w:t>
      </w:r>
      <w:r>
        <w:t xml:space="preserve"> </w:t>
      </w:r>
      <w:r w:rsidR="00C87115">
        <w:t xml:space="preserve">or </w:t>
      </w:r>
      <w:r w:rsidR="002E4AC0">
        <w:t xml:space="preserve">the </w:t>
      </w:r>
      <w:r w:rsidR="00E24B3C">
        <w:t>Issuer</w:t>
      </w:r>
      <w:r w:rsidR="00C87115">
        <w:t xml:space="preserve">’s </w:t>
      </w:r>
      <w:r w:rsidR="00656AC1">
        <w:t>independent f</w:t>
      </w:r>
      <w:r w:rsidR="00C87115">
        <w:t>inancial</w:t>
      </w:r>
      <w:r w:rsidR="00784D17">
        <w:t xml:space="preserve"> or municipal</w:t>
      </w:r>
      <w:r w:rsidR="00C87115">
        <w:t xml:space="preserve"> </w:t>
      </w:r>
      <w:r w:rsidR="00656AC1">
        <w:t>a</w:t>
      </w:r>
      <w:r w:rsidR="00C87115">
        <w:t xml:space="preserve">dvisor </w:t>
      </w:r>
      <w:r>
        <w:t xml:space="preserve">to assist in implementing this </w:t>
      </w:r>
      <w:r w:rsidR="005003FD">
        <w:t>policy and procedure</w:t>
      </w:r>
      <w:r>
        <w:t>, including, but not limited to, assistance in the following areas:</w:t>
      </w:r>
    </w:p>
    <w:p w:rsidR="00FB59FE" w:rsidRDefault="008E1423" w:rsidP="00FC6F45">
      <w:pPr>
        <w:spacing w:before="240"/>
        <w:ind w:left="2160" w:hanging="720"/>
        <w:jc w:val="both"/>
      </w:pPr>
      <w:r>
        <w:t>1</w:t>
      </w:r>
      <w:r w:rsidR="00FB59FE">
        <w:t>.</w:t>
      </w:r>
      <w:r w:rsidR="00FB59FE">
        <w:tab/>
      </w:r>
      <w:r w:rsidR="00AD4C72">
        <w:t>r</w:t>
      </w:r>
      <w:r w:rsidR="00FB59FE">
        <w:t>ebate calculations and compliance;</w:t>
      </w:r>
    </w:p>
    <w:p w:rsidR="00FB59FE" w:rsidRDefault="008E1423" w:rsidP="00FC6F45">
      <w:pPr>
        <w:spacing w:before="240"/>
        <w:ind w:left="2160" w:hanging="720"/>
        <w:jc w:val="both"/>
      </w:pPr>
      <w:r>
        <w:t>2</w:t>
      </w:r>
      <w:r w:rsidR="00A93D24">
        <w:t>.</w:t>
      </w:r>
      <w:r w:rsidR="00A93D24">
        <w:tab/>
      </w:r>
      <w:r w:rsidR="00AD4C72">
        <w:t>r</w:t>
      </w:r>
      <w:r w:rsidR="00FB59FE">
        <w:t>ecords retention;</w:t>
      </w:r>
    </w:p>
    <w:p w:rsidR="00FB59FE" w:rsidRDefault="008E1423" w:rsidP="00FC6F45">
      <w:pPr>
        <w:spacing w:before="240"/>
        <w:ind w:left="2160" w:hanging="720"/>
        <w:jc w:val="both"/>
      </w:pPr>
      <w:r>
        <w:lastRenderedPageBreak/>
        <w:t>3</w:t>
      </w:r>
      <w:r w:rsidR="00A93D24">
        <w:t>.</w:t>
      </w:r>
      <w:r w:rsidR="00A93D24">
        <w:tab/>
      </w:r>
      <w:r w:rsidR="00AD4C72">
        <w:t>p</w:t>
      </w:r>
      <w:r w:rsidR="00FB59FE">
        <w:t xml:space="preserve">eriodic review of the central list of records related to </w:t>
      </w:r>
      <w:r w:rsidR="001B626B">
        <w:t xml:space="preserve">any Obligations </w:t>
      </w:r>
      <w:r w:rsidR="00FB59FE">
        <w:t>for compliance with federal tax laws regarding private business use;</w:t>
      </w:r>
    </w:p>
    <w:p w:rsidR="00FB59FE" w:rsidRDefault="00A93D24" w:rsidP="00FC6F45">
      <w:pPr>
        <w:spacing w:before="240"/>
        <w:ind w:left="2160" w:hanging="720"/>
        <w:jc w:val="both"/>
      </w:pPr>
      <w:r>
        <w:t>4.</w:t>
      </w:r>
      <w:r>
        <w:tab/>
      </w:r>
      <w:r w:rsidR="00AD4C72">
        <w:t>o</w:t>
      </w:r>
      <w:r w:rsidR="00FB59FE">
        <w:t xml:space="preserve">ther federal tax law compliance, including any annual reporting requirements that may be imposed by the </w:t>
      </w:r>
      <w:r w:rsidR="00C9485E">
        <w:t>IRS</w:t>
      </w:r>
      <w:r w:rsidR="00100439">
        <w:t>;</w:t>
      </w:r>
      <w:r w:rsidR="006F3CB6">
        <w:t xml:space="preserve"> and</w:t>
      </w:r>
    </w:p>
    <w:p w:rsidR="006F3CB6" w:rsidRDefault="00A93D24" w:rsidP="006F3CB6">
      <w:pPr>
        <w:spacing w:before="240"/>
        <w:ind w:left="2160" w:hanging="720"/>
        <w:jc w:val="both"/>
      </w:pPr>
      <w:r>
        <w:t>5.</w:t>
      </w:r>
      <w:r>
        <w:tab/>
      </w:r>
      <w:r w:rsidR="00AD4C72">
        <w:t>f</w:t>
      </w:r>
      <w:r w:rsidR="00FB59FE">
        <w:t>ederal securities law compliance</w:t>
      </w:r>
    </w:p>
    <w:p w:rsidR="00FB59FE" w:rsidRPr="0065365C" w:rsidRDefault="008E1423" w:rsidP="00FC6F45">
      <w:pPr>
        <w:keepNext/>
        <w:spacing w:before="240"/>
        <w:ind w:left="1440" w:hanging="720"/>
        <w:jc w:val="both"/>
        <w:rPr>
          <w:b/>
        </w:rPr>
      </w:pPr>
      <w:r>
        <w:rPr>
          <w:b/>
        </w:rPr>
        <w:t>G</w:t>
      </w:r>
      <w:r w:rsidR="00FB59FE" w:rsidRPr="0065365C">
        <w:rPr>
          <w:b/>
        </w:rPr>
        <w:t>.</w:t>
      </w:r>
      <w:r w:rsidR="00FB59FE" w:rsidRPr="0065365C">
        <w:rPr>
          <w:b/>
        </w:rPr>
        <w:tab/>
        <w:t>Training Requirements</w:t>
      </w:r>
    </w:p>
    <w:p w:rsidR="00FB59FE" w:rsidRDefault="00AD4C72" w:rsidP="00FC6F45">
      <w:pPr>
        <w:spacing w:before="240"/>
        <w:ind w:left="1440"/>
        <w:jc w:val="both"/>
      </w:pPr>
      <w:r>
        <w:t xml:space="preserve">If recommended by </w:t>
      </w:r>
      <w:r w:rsidR="00DB72B6">
        <w:t>Bond Counsel</w:t>
      </w:r>
      <w:r>
        <w:t xml:space="preserve"> or at the discretion of the</w:t>
      </w:r>
      <w:r w:rsidR="00FB59FE">
        <w:t xml:space="preserve"> Compliance Officer, the Compliance Officer and </w:t>
      </w:r>
      <w:r w:rsidR="00107418">
        <w:t>his</w:t>
      </w:r>
      <w:r w:rsidR="00FB59FE">
        <w:t xml:space="preserve"> </w:t>
      </w:r>
      <w:r w:rsidR="008703BE">
        <w:t xml:space="preserve">or her </w:t>
      </w:r>
      <w:r w:rsidR="00FB59FE">
        <w:t xml:space="preserve">Designees shall undergo training regarding basic federal tax </w:t>
      </w:r>
      <w:r w:rsidR="00784D17">
        <w:t xml:space="preserve">and securities law </w:t>
      </w:r>
      <w:r w:rsidR="00FB59FE">
        <w:t xml:space="preserve">concepts relating to </w:t>
      </w:r>
      <w:r w:rsidR="001B626B">
        <w:t>tax</w:t>
      </w:r>
      <w:r w:rsidR="00C34893">
        <w:t>-</w:t>
      </w:r>
      <w:r w:rsidR="001B626B">
        <w:t>exempt Obligations</w:t>
      </w:r>
      <w:r w:rsidR="00784D17">
        <w:t>, disclosure documents</w:t>
      </w:r>
      <w:r w:rsidR="001B626B">
        <w:t xml:space="preserve"> </w:t>
      </w:r>
      <w:r w:rsidR="00FB59FE">
        <w:t xml:space="preserve">and records required to be maintained under this </w:t>
      </w:r>
      <w:r w:rsidR="005003FD">
        <w:t>policy and procedure</w:t>
      </w:r>
      <w:r w:rsidR="00FB59FE">
        <w:t>.</w:t>
      </w:r>
      <w:r w:rsidR="00107418">
        <w:t xml:space="preserve">  </w:t>
      </w:r>
      <w:r w:rsidR="00DB72B6">
        <w:t>Bond Counsel</w:t>
      </w:r>
      <w:r w:rsidR="00107418">
        <w:t xml:space="preserve"> may be engaged to provide such training.</w:t>
      </w:r>
    </w:p>
    <w:p w:rsidR="00FB59FE" w:rsidRPr="0065365C" w:rsidRDefault="008E1423" w:rsidP="00FC6F45">
      <w:pPr>
        <w:keepNext/>
        <w:spacing w:before="240"/>
        <w:ind w:left="1440" w:hanging="720"/>
        <w:jc w:val="both"/>
        <w:rPr>
          <w:b/>
        </w:rPr>
      </w:pPr>
      <w:r>
        <w:rPr>
          <w:b/>
        </w:rPr>
        <w:t>H</w:t>
      </w:r>
      <w:r w:rsidR="00FB59FE" w:rsidRPr="0065365C">
        <w:rPr>
          <w:b/>
        </w:rPr>
        <w:t>.</w:t>
      </w:r>
      <w:r w:rsidR="0018315C">
        <w:rPr>
          <w:b/>
        </w:rPr>
        <w:tab/>
      </w:r>
      <w:r w:rsidR="00FB59FE" w:rsidRPr="0065365C">
        <w:rPr>
          <w:b/>
        </w:rPr>
        <w:t>Annual Review</w:t>
      </w:r>
    </w:p>
    <w:p w:rsidR="00FB59FE" w:rsidRDefault="00FB59FE" w:rsidP="00FC6F45">
      <w:pPr>
        <w:spacing w:before="240"/>
        <w:ind w:left="1440"/>
        <w:jc w:val="both"/>
      </w:pPr>
      <w:r>
        <w:t xml:space="preserve">On an annual basis, or sooner if deemed necessary by the Compliance Officer, the Compliance Officer shall review this policy </w:t>
      </w:r>
      <w:r w:rsidR="001B626B">
        <w:t xml:space="preserve">and procedure </w:t>
      </w:r>
      <w:r>
        <w:t xml:space="preserve">and assess </w:t>
      </w:r>
      <w:r w:rsidR="002E4AC0">
        <w:t xml:space="preserve">the </w:t>
      </w:r>
      <w:r w:rsidR="00E24B3C">
        <w:t>Issuer</w:t>
      </w:r>
      <w:r>
        <w:t xml:space="preserve">’s compliance with this </w:t>
      </w:r>
      <w:r w:rsidR="005003FD">
        <w:t>policy and procedure</w:t>
      </w:r>
      <w:r>
        <w:t>.</w:t>
      </w:r>
      <w:r w:rsidR="00104BF4">
        <w:t xml:space="preserve"> </w:t>
      </w:r>
      <w:r>
        <w:t xml:space="preserve"> The Compliance Officer shall make changes to </w:t>
      </w:r>
      <w:r w:rsidR="002E4AC0">
        <w:t>this policy and procedure</w:t>
      </w:r>
      <w:r>
        <w:t xml:space="preserve"> as appropriate to ensure compliance with any covenants in the documents </w:t>
      </w:r>
      <w:r w:rsidR="001B626B">
        <w:t xml:space="preserve">relating to the Obligations </w:t>
      </w:r>
      <w:r>
        <w:t>or the requirements of federal tax and securities laws and any other applicable law.</w:t>
      </w:r>
    </w:p>
    <w:p w:rsidR="0018315C" w:rsidRDefault="0018315C" w:rsidP="00FC6F45">
      <w:pPr>
        <w:keepNext/>
        <w:spacing w:before="240"/>
        <w:ind w:left="1440" w:hanging="720"/>
        <w:jc w:val="both"/>
        <w:rPr>
          <w:b/>
        </w:rPr>
      </w:pPr>
      <w:r w:rsidRPr="0018315C">
        <w:rPr>
          <w:b/>
        </w:rPr>
        <w:t>I.</w:t>
      </w:r>
      <w:r w:rsidRPr="0018315C">
        <w:rPr>
          <w:b/>
        </w:rPr>
        <w:tab/>
        <w:t>R</w:t>
      </w:r>
      <w:r>
        <w:rPr>
          <w:b/>
        </w:rPr>
        <w:t>eimbursement Bond Rules</w:t>
      </w:r>
    </w:p>
    <w:p w:rsidR="0018315C" w:rsidRDefault="0018315C" w:rsidP="00FC6F45">
      <w:pPr>
        <w:spacing w:before="240"/>
        <w:ind w:left="1440"/>
        <w:jc w:val="both"/>
      </w:pPr>
      <w:r>
        <w:t xml:space="preserve">The </w:t>
      </w:r>
      <w:r w:rsidR="00E25FDE">
        <w:t>Treasury Regulations</w:t>
      </w:r>
      <w:r w:rsidR="00677FDA">
        <w:t xml:space="preserve"> applicable to the reimbursement of expenditures from proceeds</w:t>
      </w:r>
      <w:r w:rsidR="001B626B">
        <w:t xml:space="preserve"> of </w:t>
      </w:r>
      <w:r w:rsidR="00C34893">
        <w:t>tax-exempt</w:t>
      </w:r>
      <w:r w:rsidR="001B626B">
        <w:t xml:space="preserve"> Obligations</w:t>
      </w:r>
      <w:r>
        <w:t xml:space="preserve">, in the situations in which they apply, require </w:t>
      </w:r>
      <w:r w:rsidR="002E4AC0">
        <w:t xml:space="preserve">the </w:t>
      </w:r>
      <w:r w:rsidR="00E24B3C">
        <w:t>Issuer</w:t>
      </w:r>
      <w:r w:rsidR="00160E8F">
        <w:t xml:space="preserve"> to have made a </w:t>
      </w:r>
      <w:r w:rsidR="00F27678">
        <w:t>Declaration</w:t>
      </w:r>
      <w:r>
        <w:t xml:space="preserve">.  </w:t>
      </w:r>
      <w:r w:rsidRPr="006E4944">
        <w:t xml:space="preserve">The </w:t>
      </w:r>
      <w:r w:rsidR="00100439">
        <w:t>Compliance Officer</w:t>
      </w:r>
      <w:r w:rsidR="00677FDA" w:rsidRPr="006E4944">
        <w:t xml:space="preserve"> </w:t>
      </w:r>
      <w:r w:rsidR="00656AC1" w:rsidRPr="006E4944">
        <w:t>is authorized</w:t>
      </w:r>
      <w:r w:rsidR="00656AC1">
        <w:t xml:space="preserve"> </w:t>
      </w:r>
      <w:r w:rsidR="00677FDA" w:rsidRPr="00656AC1">
        <w:t>t</w:t>
      </w:r>
      <w:r w:rsidRPr="00656AC1">
        <w:t xml:space="preserve">o make </w:t>
      </w:r>
      <w:r w:rsidR="002E4AC0" w:rsidRPr="00656AC1">
        <w:t xml:space="preserve">the </w:t>
      </w:r>
      <w:r w:rsidR="00E24B3C">
        <w:t>Issuer</w:t>
      </w:r>
      <w:r w:rsidR="00104BF4" w:rsidRPr="00656AC1">
        <w:t>’</w:t>
      </w:r>
      <w:r w:rsidRPr="00656AC1">
        <w:t>s Declarations or</w:t>
      </w:r>
      <w:r>
        <w:t xml:space="preserve"> to delegate from time to time that responsibility to other appropriate employees</w:t>
      </w:r>
      <w:r w:rsidR="001B626B">
        <w:t xml:space="preserve"> under his </w:t>
      </w:r>
      <w:r w:rsidR="008703BE">
        <w:t xml:space="preserve">or her </w:t>
      </w:r>
      <w:r w:rsidR="001B626B">
        <w:t>supervision</w:t>
      </w:r>
      <w:r>
        <w:t xml:space="preserve">.  Each Declaration shall comply with the requirements of the </w:t>
      </w:r>
      <w:r w:rsidR="00E25FDE">
        <w:t>Treasury Regulations</w:t>
      </w:r>
      <w:r>
        <w:t>, including without limitation the following:</w:t>
      </w:r>
    </w:p>
    <w:p w:rsidR="0018315C" w:rsidRDefault="00D426CC" w:rsidP="00FC6F45">
      <w:pPr>
        <w:spacing w:before="240"/>
        <w:ind w:left="2160" w:hanging="720"/>
        <w:jc w:val="both"/>
      </w:pPr>
      <w:r>
        <w:t>1.</w:t>
      </w:r>
      <w:r w:rsidR="00677FDA">
        <w:tab/>
      </w:r>
      <w:r w:rsidR="0018315C">
        <w:t xml:space="preserve">Each Declaration shall be made not later than 60 days after payment of the applicable cost and shall state that </w:t>
      </w:r>
      <w:r w:rsidR="002E4AC0">
        <w:t xml:space="preserve">the </w:t>
      </w:r>
      <w:r w:rsidR="00E24B3C">
        <w:t>Issuer</w:t>
      </w:r>
      <w:r w:rsidR="0018315C">
        <w:t xml:space="preserve"> reasonably expects to reimburse itself for the expenditure out of the proceeds of a</w:t>
      </w:r>
      <w:r w:rsidR="001B626B">
        <w:t xml:space="preserve">n issue of </w:t>
      </w:r>
      <w:r w:rsidR="00C34893">
        <w:t>tax-exempt</w:t>
      </w:r>
      <w:r w:rsidR="001B626B">
        <w:t xml:space="preserve"> Obligations</w:t>
      </w:r>
      <w:r w:rsidR="0018315C">
        <w:t xml:space="preserve"> or similar borrowing.  Each Declaration may be made substantially in the form of the </w:t>
      </w:r>
      <w:r w:rsidR="0018315C" w:rsidRPr="00C87115">
        <w:rPr>
          <w:u w:val="single"/>
        </w:rPr>
        <w:t>Exhibit A</w:t>
      </w:r>
      <w:r w:rsidR="0018315C">
        <w:t xml:space="preserve"> which is attached to and made a part of this </w:t>
      </w:r>
      <w:r w:rsidR="001B626B">
        <w:t>policy and procedure</w:t>
      </w:r>
      <w:r w:rsidR="0018315C">
        <w:t xml:space="preserve">, or in any other format which may at the time comply with the </w:t>
      </w:r>
      <w:r w:rsidR="00E25FDE">
        <w:t>Treasury Regulations</w:t>
      </w:r>
      <w:r w:rsidR="0018315C">
        <w:t>.</w:t>
      </w:r>
    </w:p>
    <w:p w:rsidR="0018315C" w:rsidRDefault="00D426CC" w:rsidP="00FC6F45">
      <w:pPr>
        <w:spacing w:before="240"/>
        <w:ind w:left="2160" w:hanging="720"/>
        <w:jc w:val="both"/>
      </w:pPr>
      <w:r>
        <w:t>2</w:t>
      </w:r>
      <w:r w:rsidR="00677FDA">
        <w:t>.</w:t>
      </w:r>
      <w:r w:rsidR="00677FDA">
        <w:tab/>
      </w:r>
      <w:r w:rsidR="0018315C">
        <w:t>Each Declaration shall (</w:t>
      </w:r>
      <w:r w:rsidR="008E1423">
        <w:t>i</w:t>
      </w:r>
      <w:r w:rsidR="0018315C">
        <w:t>) contain a reasonably accurate description of the property or progra</w:t>
      </w:r>
      <w:r w:rsidR="00677FDA">
        <w:t>m to be financed, as applicable</w:t>
      </w:r>
      <w:r w:rsidR="0018315C">
        <w:t>, to which the expenditure relates and (</w:t>
      </w:r>
      <w:r w:rsidR="008E1423">
        <w:t>ii</w:t>
      </w:r>
      <w:r w:rsidR="0018315C">
        <w:t xml:space="preserve">) state the maximum principal amount of </w:t>
      </w:r>
      <w:r w:rsidR="00C34893">
        <w:t>tax-exempt</w:t>
      </w:r>
      <w:r w:rsidR="001B626B">
        <w:t xml:space="preserve"> Obligations</w:t>
      </w:r>
      <w:r w:rsidR="0018315C">
        <w:t xml:space="preserve"> expected to be issued for that pro</w:t>
      </w:r>
      <w:r w:rsidR="001B626B">
        <w:t>perty or program</w:t>
      </w:r>
      <w:r w:rsidR="0018315C">
        <w:t>.</w:t>
      </w:r>
    </w:p>
    <w:p w:rsidR="00677FDA" w:rsidRDefault="00D426CC" w:rsidP="00FC6F45">
      <w:pPr>
        <w:spacing w:before="240"/>
        <w:ind w:left="2160" w:hanging="720"/>
        <w:jc w:val="both"/>
      </w:pPr>
      <w:r>
        <w:lastRenderedPageBreak/>
        <w:t>3</w:t>
      </w:r>
      <w:r w:rsidR="00677FDA">
        <w:t>.</w:t>
      </w:r>
      <w:r w:rsidR="00677FDA">
        <w:tab/>
      </w:r>
      <w:r w:rsidR="0018315C">
        <w:t xml:space="preserve">Care shall be taken so that </w:t>
      </w:r>
      <w:r w:rsidR="002E4AC0">
        <w:t xml:space="preserve">the </w:t>
      </w:r>
      <w:r w:rsidR="00E24B3C">
        <w:t>Issuer</w:t>
      </w:r>
      <w:r w:rsidR="00677FDA">
        <w:t xml:space="preserve"> does</w:t>
      </w:r>
      <w:r w:rsidR="0018315C">
        <w:t xml:space="preserve"> not make Declarations in cases where </w:t>
      </w:r>
      <w:r w:rsidR="002E4AC0">
        <w:t xml:space="preserve">the </w:t>
      </w:r>
      <w:r w:rsidR="00E24B3C">
        <w:t>Issuer</w:t>
      </w:r>
      <w:r w:rsidR="0018315C">
        <w:t xml:space="preserve"> does</w:t>
      </w:r>
      <w:r w:rsidR="00FA3DA3">
        <w:t xml:space="preserve"> </w:t>
      </w:r>
      <w:r w:rsidR="0018315C">
        <w:t>n</w:t>
      </w:r>
      <w:r w:rsidR="00FA3DA3">
        <w:t>o</w:t>
      </w:r>
      <w:r w:rsidR="0018315C">
        <w:t xml:space="preserve">t reasonably expect that </w:t>
      </w:r>
      <w:r w:rsidR="00C34893">
        <w:t>tax-exempt</w:t>
      </w:r>
      <w:r w:rsidR="001B626B">
        <w:t xml:space="preserve"> Obligations</w:t>
      </w:r>
      <w:r w:rsidR="0018315C">
        <w:t xml:space="preserve"> will be issued to finance the subject costs, and </w:t>
      </w:r>
      <w:r w:rsidR="002E4AC0">
        <w:t xml:space="preserve">the </w:t>
      </w:r>
      <w:r w:rsidR="00E24B3C">
        <w:t>Issuer</w:t>
      </w:r>
      <w:r w:rsidR="0018315C">
        <w:t xml:space="preserve"> officials </w:t>
      </w:r>
      <w:r w:rsidR="00677FDA">
        <w:t>should</w:t>
      </w:r>
      <w:r w:rsidR="0018315C">
        <w:t xml:space="preserve"> consult with </w:t>
      </w:r>
      <w:r w:rsidR="00DB72B6">
        <w:t>Bond Counsel</w:t>
      </w:r>
      <w:r w:rsidR="0018315C">
        <w:t xml:space="preserve"> concerning the requirements of the </w:t>
      </w:r>
      <w:r w:rsidR="00E25FDE">
        <w:t>Treasury Regulations</w:t>
      </w:r>
      <w:r w:rsidR="0018315C">
        <w:t xml:space="preserve"> and their application in particular circumstances.</w:t>
      </w:r>
    </w:p>
    <w:p w:rsidR="005804FB" w:rsidRDefault="008E1423" w:rsidP="006F3CB6">
      <w:pPr>
        <w:keepNext/>
        <w:spacing w:before="240"/>
        <w:ind w:left="720" w:hanging="720"/>
        <w:jc w:val="both"/>
        <w:rPr>
          <w:b/>
        </w:rPr>
      </w:pPr>
      <w:r>
        <w:rPr>
          <w:b/>
        </w:rPr>
        <w:t>I</w:t>
      </w:r>
      <w:r w:rsidR="00F27678">
        <w:rPr>
          <w:b/>
        </w:rPr>
        <w:t>V</w:t>
      </w:r>
      <w:r w:rsidR="00E25FDE" w:rsidRPr="00E25FDE">
        <w:rPr>
          <w:b/>
        </w:rPr>
        <w:t>.</w:t>
      </w:r>
      <w:bookmarkStart w:id="0" w:name="_GoBack"/>
      <w:bookmarkEnd w:id="0"/>
      <w:r w:rsidR="005804FB">
        <w:rPr>
          <w:b/>
        </w:rPr>
        <w:tab/>
        <w:t>EXHIBIT</w:t>
      </w:r>
    </w:p>
    <w:p w:rsidR="005804FB" w:rsidRDefault="005804FB" w:rsidP="005804FB">
      <w:pPr>
        <w:spacing w:before="240"/>
      </w:pPr>
      <w:r>
        <w:t>The exhibit to this policy and procedure is as follows:</w:t>
      </w:r>
    </w:p>
    <w:p w:rsidR="00F27678" w:rsidRPr="00F27678" w:rsidRDefault="005804FB" w:rsidP="005804FB">
      <w:pPr>
        <w:spacing w:before="240"/>
        <w:ind w:left="720"/>
      </w:pPr>
      <w:r>
        <w:t>Exhibit A – Declaration of Official Intent</w:t>
      </w:r>
    </w:p>
    <w:p w:rsidR="0018315C" w:rsidRDefault="00677FDA" w:rsidP="005A53DD">
      <w:pPr>
        <w:keepNext/>
        <w:keepLines/>
        <w:spacing w:before="240"/>
        <w:ind w:left="720" w:hanging="720"/>
        <w:jc w:val="both"/>
      </w:pPr>
      <w:r>
        <w:t xml:space="preserve">Dated: </w:t>
      </w:r>
      <w:r w:rsidR="00CE50A0">
        <w:t>April 2, 2020</w:t>
      </w:r>
    </w:p>
    <w:p w:rsidR="008016E8" w:rsidRDefault="008016E8" w:rsidP="00D47129">
      <w:pPr>
        <w:jc w:val="both"/>
      </w:pPr>
    </w:p>
    <w:p w:rsidR="00D47129" w:rsidRPr="00D47129" w:rsidRDefault="00D47129" w:rsidP="00D47129">
      <w:pPr>
        <w:jc w:val="both"/>
        <w:sectPr w:rsidR="00D47129" w:rsidRPr="00D47129" w:rsidSect="009E2FD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080" w:gutter="0"/>
          <w:cols w:space="720"/>
          <w:titlePg/>
          <w:docGrid w:linePitch="360"/>
        </w:sectPr>
      </w:pPr>
    </w:p>
    <w:p w:rsidR="00677FDA" w:rsidRPr="00780526" w:rsidRDefault="00780526" w:rsidP="00780526">
      <w:pPr>
        <w:jc w:val="center"/>
        <w:rPr>
          <w:b/>
        </w:rPr>
      </w:pPr>
      <w:r w:rsidRPr="00780526">
        <w:rPr>
          <w:b/>
        </w:rPr>
        <w:lastRenderedPageBreak/>
        <w:t>EXHIBIT A</w:t>
      </w:r>
    </w:p>
    <w:p w:rsidR="00780526" w:rsidRDefault="00780526" w:rsidP="00780526">
      <w:pPr>
        <w:jc w:val="center"/>
      </w:pPr>
    </w:p>
    <w:p w:rsidR="00780526" w:rsidRDefault="00780526" w:rsidP="00780526">
      <w:pPr>
        <w:jc w:val="center"/>
        <w:rPr>
          <w:b/>
        </w:rPr>
      </w:pPr>
      <w:r w:rsidRPr="00DB513C">
        <w:rPr>
          <w:b/>
        </w:rPr>
        <w:t>DECLARATION OF OFFICIAL INTENT</w:t>
      </w:r>
    </w:p>
    <w:p w:rsidR="00780526" w:rsidRPr="00DB513C" w:rsidRDefault="00780526" w:rsidP="00780526"/>
    <w:p w:rsidR="00780526" w:rsidRDefault="00780526" w:rsidP="00780526">
      <w:pPr>
        <w:pStyle w:val="BodyText"/>
      </w:pPr>
      <w:r>
        <w:t xml:space="preserve">The undersigned, being the duly appointed and </w:t>
      </w:r>
      <w:r w:rsidRPr="006E4944">
        <w:t xml:space="preserve">acting </w:t>
      </w:r>
      <w:r w:rsidR="009544E3">
        <w:t>Treasurer</w:t>
      </w:r>
      <w:r w:rsidR="00633658">
        <w:t xml:space="preserve"> </w:t>
      </w:r>
      <w:r w:rsidR="00AB0BD6" w:rsidRPr="006E4944">
        <w:t>o</w:t>
      </w:r>
      <w:r w:rsidR="00AB0BD6">
        <w:t xml:space="preserve">f the </w:t>
      </w:r>
      <w:r w:rsidR="00633658">
        <w:t xml:space="preserve">Town of </w:t>
      </w:r>
      <w:r w:rsidR="00CE50A0">
        <w:t>Sandstone</w:t>
      </w:r>
      <w:r w:rsidR="005C7A79">
        <w:t>, Minnesota</w:t>
      </w:r>
      <w:r w:rsidR="001C6D94">
        <w:t xml:space="preserve"> (the “Issuer”)</w:t>
      </w:r>
      <w:r>
        <w:t>, pursuant to and for purposes of compliance with Treasury Regulations, Section</w:t>
      </w:r>
      <w:r w:rsidR="00100439">
        <w:t> </w:t>
      </w:r>
      <w:r>
        <w:t>1.150</w:t>
      </w:r>
      <w:r w:rsidR="00100439">
        <w:noBreakHyphen/>
      </w:r>
      <w:r>
        <w:t xml:space="preserve">2 (the “Regulations”), under the Internal Revenue Code of 1986, as amended, hereby states and certifies on behalf of </w:t>
      </w:r>
      <w:r w:rsidR="002E4AC0">
        <w:t xml:space="preserve">the </w:t>
      </w:r>
      <w:r w:rsidR="00E24B3C">
        <w:t>Issuer</w:t>
      </w:r>
      <w:r w:rsidR="00EA4463">
        <w:t xml:space="preserve"> </w:t>
      </w:r>
      <w:r>
        <w:t>as follows:</w:t>
      </w:r>
    </w:p>
    <w:p w:rsidR="00780526" w:rsidRDefault="00780526" w:rsidP="00780526">
      <w:pPr>
        <w:pStyle w:val="numparabodytext"/>
      </w:pPr>
      <w:r>
        <w:t xml:space="preserve">The undersigned has been and is on the date hereof duly authorized by </w:t>
      </w:r>
      <w:r w:rsidR="002E4AC0">
        <w:t xml:space="preserve">the </w:t>
      </w:r>
      <w:r w:rsidR="00E24B3C">
        <w:t>Issuer</w:t>
      </w:r>
      <w:r w:rsidR="00EA4463">
        <w:t xml:space="preserve"> </w:t>
      </w:r>
      <w:r>
        <w:t xml:space="preserve">to make and execute this Declaration of Official Intent (the “Declaration”) for and on behalf of </w:t>
      </w:r>
      <w:r w:rsidR="002E4AC0">
        <w:t xml:space="preserve">the </w:t>
      </w:r>
      <w:r w:rsidR="00E24B3C">
        <w:t>Issuer</w:t>
      </w:r>
      <w:r>
        <w:t>.</w:t>
      </w:r>
    </w:p>
    <w:p w:rsidR="00780526" w:rsidRDefault="00780526" w:rsidP="00780526">
      <w:pPr>
        <w:pStyle w:val="numparabodytext"/>
      </w:pPr>
      <w:r>
        <w:t>This Declaration relates to the following pro</w:t>
      </w:r>
      <w:r w:rsidR="00656AC1">
        <w:t xml:space="preserve">ject </w:t>
      </w:r>
      <w:r>
        <w:t>(the “Pro</w:t>
      </w:r>
      <w:r w:rsidR="00656AC1">
        <w:t>ject</w:t>
      </w:r>
      <w:r>
        <w:t>”) and the costs thereof to be financed:</w:t>
      </w:r>
    </w:p>
    <w:p w:rsidR="00780526" w:rsidRDefault="00656AC1" w:rsidP="00780526">
      <w:pPr>
        <w:jc w:val="center"/>
      </w:pPr>
      <w:r w:rsidRPr="00656AC1">
        <w:t>&lt;INSERT PROJECT DESCRIPTION&gt;</w:t>
      </w:r>
    </w:p>
    <w:p w:rsidR="00780526" w:rsidRDefault="00780526" w:rsidP="00780526">
      <w:pPr>
        <w:ind w:right="720"/>
        <w:jc w:val="both"/>
      </w:pPr>
    </w:p>
    <w:p w:rsidR="00780526" w:rsidRDefault="004853C6" w:rsidP="00780526">
      <w:pPr>
        <w:pStyle w:val="numparabodytext"/>
      </w:pPr>
      <w:r>
        <w:t>T</w:t>
      </w:r>
      <w:r w:rsidR="002E4AC0">
        <w:t xml:space="preserve">he </w:t>
      </w:r>
      <w:r w:rsidR="00E24B3C">
        <w:t>Issuer</w:t>
      </w:r>
      <w:r w:rsidR="00780526">
        <w:t xml:space="preserve"> reasonably expects to reimburse itself for the payment of certain costs of the Pro</w:t>
      </w:r>
      <w:r w:rsidR="00CA5E44">
        <w:t>ject</w:t>
      </w:r>
      <w:r w:rsidR="00780526">
        <w:t xml:space="preserve"> out of the proceeds of a bond issue or similar borrowing (the “</w:t>
      </w:r>
      <w:r w:rsidR="001B626B">
        <w:t>Obligations</w:t>
      </w:r>
      <w:r w:rsidR="00780526">
        <w:t xml:space="preserve">”) to be issued after the date of payment of such costs.  As of the date hereof, </w:t>
      </w:r>
      <w:r w:rsidR="002E4AC0">
        <w:t xml:space="preserve">the </w:t>
      </w:r>
      <w:r w:rsidR="00E24B3C">
        <w:t>Issuer</w:t>
      </w:r>
      <w:r w:rsidR="00780526">
        <w:t xml:space="preserve"> reasonably expects that $____________ is the maximum principal amount of the </w:t>
      </w:r>
      <w:r w:rsidR="001B626B">
        <w:t>Obligations</w:t>
      </w:r>
      <w:r w:rsidR="00780526">
        <w:t xml:space="preserve"> which will be issued to finance the Pro</w:t>
      </w:r>
      <w:r w:rsidR="00656AC1">
        <w:t>ject</w:t>
      </w:r>
      <w:r w:rsidR="00780526">
        <w:t>.</w:t>
      </w:r>
    </w:p>
    <w:p w:rsidR="00780526" w:rsidRDefault="00B306F9" w:rsidP="00780526">
      <w:pPr>
        <w:pStyle w:val="numparabodytext"/>
      </w:pPr>
      <w:r>
        <w:t xml:space="preserve">Each </w:t>
      </w:r>
      <w:r w:rsidR="00780526">
        <w:t xml:space="preserve">expenditure to be reimbursed from the </w:t>
      </w:r>
      <w:r w:rsidR="001B626B">
        <w:t>Obligations</w:t>
      </w:r>
      <w:r w:rsidR="00780526">
        <w:t xml:space="preserve"> is or will be a </w:t>
      </w:r>
      <w:r w:rsidR="00656AC1">
        <w:t>capital expenditure</w:t>
      </w:r>
      <w:r w:rsidR="00780526">
        <w:t xml:space="preserve"> or cost of issuance of the proposed bonds.</w:t>
      </w:r>
    </w:p>
    <w:p w:rsidR="00780526" w:rsidRDefault="00780526" w:rsidP="00780526">
      <w:pPr>
        <w:pStyle w:val="numparabodytext"/>
      </w:pPr>
      <w:r>
        <w:t>As of the date hereof, the statements and expectations contained in this Declaration are believed to be reasonable and accurate.</w:t>
      </w:r>
    </w:p>
    <w:p w:rsidR="00780526" w:rsidRDefault="00780526" w:rsidP="00780526">
      <w:pPr>
        <w:pStyle w:val="blockbodytext"/>
      </w:pPr>
      <w:r>
        <w:t>Date: _______________</w:t>
      </w:r>
    </w:p>
    <w:p w:rsidR="008C5768" w:rsidRDefault="008C5768" w:rsidP="00780526">
      <w:pPr>
        <w:ind w:right="720"/>
        <w:jc w:val="both"/>
      </w:pPr>
    </w:p>
    <w:p w:rsidR="008C5768" w:rsidRDefault="008C5768" w:rsidP="00780526">
      <w:pPr>
        <w:ind w:right="720"/>
        <w:jc w:val="both"/>
      </w:pPr>
    </w:p>
    <w:p w:rsidR="00780526" w:rsidRPr="00DB513C" w:rsidRDefault="00780526" w:rsidP="00100439">
      <w:pPr>
        <w:tabs>
          <w:tab w:val="right" w:pos="9360"/>
        </w:tabs>
        <w:ind w:left="5040"/>
        <w:jc w:val="both"/>
        <w:rPr>
          <w:u w:val="single"/>
        </w:rPr>
      </w:pPr>
      <w:r w:rsidRPr="00DB513C">
        <w:rPr>
          <w:u w:val="single"/>
        </w:rPr>
        <w:tab/>
      </w:r>
    </w:p>
    <w:p w:rsidR="00683406" w:rsidRDefault="009544E3" w:rsidP="00100439">
      <w:pPr>
        <w:tabs>
          <w:tab w:val="right" w:pos="9360"/>
        </w:tabs>
        <w:ind w:left="5040"/>
      </w:pPr>
      <w:r>
        <w:t>Treasurer</w:t>
      </w:r>
    </w:p>
    <w:p w:rsidR="00D607B8" w:rsidRDefault="00633658" w:rsidP="00100439">
      <w:pPr>
        <w:tabs>
          <w:tab w:val="right" w:pos="9360"/>
        </w:tabs>
        <w:ind w:left="5040"/>
      </w:pPr>
      <w:r>
        <w:t xml:space="preserve">Town of </w:t>
      </w:r>
      <w:r w:rsidR="00CE50A0">
        <w:t>Sandstone</w:t>
      </w:r>
      <w:r w:rsidR="005C7A79">
        <w:t>, Minnesota</w:t>
      </w:r>
    </w:p>
    <w:p w:rsidR="00100439" w:rsidRDefault="00100439" w:rsidP="004209D8">
      <w:pPr>
        <w:tabs>
          <w:tab w:val="left" w:pos="2201"/>
        </w:tabs>
      </w:pPr>
    </w:p>
    <w:sectPr w:rsidR="00100439" w:rsidSect="00E20390">
      <w:footerReference w:type="first" r:id="rId15"/>
      <w:pgSz w:w="12240" w:h="15840" w:code="1"/>
      <w:pgMar w:top="1440" w:right="1440" w:bottom="1440" w:left="1440" w:header="72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78" w:rsidRDefault="00F27678">
      <w:r>
        <w:separator/>
      </w:r>
    </w:p>
  </w:endnote>
  <w:endnote w:type="continuationSeparator" w:id="0">
    <w:p w:rsidR="00F27678" w:rsidRDefault="00F2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78" w:rsidRDefault="00F27678" w:rsidP="00C90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7678" w:rsidRDefault="00F27678" w:rsidP="00C90E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78" w:rsidRDefault="00F27678" w:rsidP="00780526">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6F3CB6">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48" w:rsidRDefault="00B737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78" w:rsidRPr="00B73748" w:rsidRDefault="00B73748" w:rsidP="00B73748">
    <w:pPr>
      <w:pStyle w:val="Footer"/>
      <w:rPr>
        <w:sz w:val="12"/>
      </w:rPr>
    </w:pPr>
    <w:r w:rsidRPr="00B73748">
      <w:rPr>
        <w:i/>
        <w:sz w:val="12"/>
      </w:rPr>
      <w:fldChar w:fldCharType="begin"/>
    </w:r>
    <w:r w:rsidRPr="00B73748">
      <w:rPr>
        <w:i/>
        <w:sz w:val="12"/>
      </w:rPr>
      <w:instrText xml:space="preserve"> FILENAME  \p  \* MERGEFORMAT </w:instrText>
    </w:r>
    <w:r w:rsidRPr="00B73748">
      <w:rPr>
        <w:i/>
        <w:sz w:val="12"/>
      </w:rPr>
      <w:fldChar w:fldCharType="separate"/>
    </w:r>
    <w:r w:rsidRPr="00B73748">
      <w:rPr>
        <w:i/>
        <w:noProof/>
        <w:sz w:val="12"/>
      </w:rPr>
      <w:t>M:\DOCS\21499\000000\CER\18J9836.DOCX</w:t>
    </w:r>
    <w:r w:rsidRPr="00B73748">
      <w:rPr>
        <w:i/>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78" w:rsidRDefault="00F27678">
      <w:r>
        <w:separator/>
      </w:r>
    </w:p>
  </w:footnote>
  <w:footnote w:type="continuationSeparator" w:id="0">
    <w:p w:rsidR="00F27678" w:rsidRDefault="00F27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78" w:rsidRDefault="006F3C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41610" o:spid="_x0000_s2059" type="#_x0000_t136" style="position:absolute;margin-left:0;margin-top:0;width:513.2pt;height:146.6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48" w:rsidRDefault="00B737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48" w:rsidRDefault="00B73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075"/>
    <w:multiLevelType w:val="hybridMultilevel"/>
    <w:tmpl w:val="F838051E"/>
    <w:lvl w:ilvl="0" w:tplc="C818E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B37555"/>
    <w:multiLevelType w:val="hybridMultilevel"/>
    <w:tmpl w:val="8488FF22"/>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9625C85"/>
    <w:multiLevelType w:val="hybridMultilevel"/>
    <w:tmpl w:val="07548730"/>
    <w:lvl w:ilvl="0" w:tplc="D5722D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9D0EB3"/>
    <w:multiLevelType w:val="hybridMultilevel"/>
    <w:tmpl w:val="72C44B04"/>
    <w:lvl w:ilvl="0" w:tplc="DED8897E">
      <w:start w:val="1"/>
      <w:numFmt w:val="decimal"/>
      <w:pStyle w:val="numparabodytext"/>
      <w:lvlText w:val="%1."/>
      <w:lvlJc w:val="left"/>
      <w:pPr>
        <w:tabs>
          <w:tab w:val="num" w:pos="720"/>
        </w:tabs>
        <w:ind w:left="0" w:firstLine="720"/>
      </w:pPr>
      <w:rPr>
        <w:rFonts w:hint="default"/>
      </w:rPr>
    </w:lvl>
    <w:lvl w:ilvl="1" w:tplc="04090019">
      <w:start w:val="1"/>
      <w:numFmt w:val="lowerLetter"/>
      <w:lvlText w:val="(%2)"/>
      <w:lvlJc w:val="left"/>
      <w:pPr>
        <w:tabs>
          <w:tab w:val="num" w:pos="1080"/>
        </w:tabs>
        <w:ind w:left="36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80303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dd2773fd-f3cc-4091-bdb9-8748ab93c7c9"/>
  </w:docVars>
  <w:rsids>
    <w:rsidRoot w:val="0065365C"/>
    <w:rsid w:val="000011E3"/>
    <w:rsid w:val="000016AD"/>
    <w:rsid w:val="000018FE"/>
    <w:rsid w:val="00004E40"/>
    <w:rsid w:val="00016AB7"/>
    <w:rsid w:val="00024733"/>
    <w:rsid w:val="00030F9D"/>
    <w:rsid w:val="00043AE3"/>
    <w:rsid w:val="00064DE0"/>
    <w:rsid w:val="00080966"/>
    <w:rsid w:val="00091405"/>
    <w:rsid w:val="000A1C5D"/>
    <w:rsid w:val="000A46BE"/>
    <w:rsid w:val="000A4D14"/>
    <w:rsid w:val="000B3A65"/>
    <w:rsid w:val="000B3D07"/>
    <w:rsid w:val="000B5F99"/>
    <w:rsid w:val="000C4030"/>
    <w:rsid w:val="000D7C77"/>
    <w:rsid w:val="000E73E7"/>
    <w:rsid w:val="000F2E02"/>
    <w:rsid w:val="000F3C31"/>
    <w:rsid w:val="000F3E25"/>
    <w:rsid w:val="000F40B1"/>
    <w:rsid w:val="00100439"/>
    <w:rsid w:val="00104BF4"/>
    <w:rsid w:val="00107418"/>
    <w:rsid w:val="00130D1B"/>
    <w:rsid w:val="00131A7D"/>
    <w:rsid w:val="00133E5A"/>
    <w:rsid w:val="001477BE"/>
    <w:rsid w:val="001569D8"/>
    <w:rsid w:val="00160E8F"/>
    <w:rsid w:val="001645BF"/>
    <w:rsid w:val="001650CD"/>
    <w:rsid w:val="00182F35"/>
    <w:rsid w:val="0018315C"/>
    <w:rsid w:val="001A30C5"/>
    <w:rsid w:val="001B626B"/>
    <w:rsid w:val="001C1433"/>
    <w:rsid w:val="001C64E8"/>
    <w:rsid w:val="001C6D94"/>
    <w:rsid w:val="001D043B"/>
    <w:rsid w:val="001D4F95"/>
    <w:rsid w:val="001F012D"/>
    <w:rsid w:val="001F750A"/>
    <w:rsid w:val="00236A8F"/>
    <w:rsid w:val="002A0691"/>
    <w:rsid w:val="002A6EB1"/>
    <w:rsid w:val="002B582A"/>
    <w:rsid w:val="002B7F22"/>
    <w:rsid w:val="002D642D"/>
    <w:rsid w:val="002D74C2"/>
    <w:rsid w:val="002E4AC0"/>
    <w:rsid w:val="002F1DDB"/>
    <w:rsid w:val="002F3C39"/>
    <w:rsid w:val="00324578"/>
    <w:rsid w:val="00340DDC"/>
    <w:rsid w:val="00354735"/>
    <w:rsid w:val="00354CBD"/>
    <w:rsid w:val="00364526"/>
    <w:rsid w:val="00364D3D"/>
    <w:rsid w:val="00365013"/>
    <w:rsid w:val="00373274"/>
    <w:rsid w:val="003864A8"/>
    <w:rsid w:val="0039155D"/>
    <w:rsid w:val="00391C2F"/>
    <w:rsid w:val="00395DA8"/>
    <w:rsid w:val="003A121D"/>
    <w:rsid w:val="003A4B95"/>
    <w:rsid w:val="003A7FEB"/>
    <w:rsid w:val="003C4FB8"/>
    <w:rsid w:val="003D1457"/>
    <w:rsid w:val="003D48C5"/>
    <w:rsid w:val="003E5103"/>
    <w:rsid w:val="003E7838"/>
    <w:rsid w:val="004077FA"/>
    <w:rsid w:val="00411346"/>
    <w:rsid w:val="004202DA"/>
    <w:rsid w:val="004209D8"/>
    <w:rsid w:val="00431C54"/>
    <w:rsid w:val="00457EE8"/>
    <w:rsid w:val="004602A7"/>
    <w:rsid w:val="0046195D"/>
    <w:rsid w:val="00463760"/>
    <w:rsid w:val="00463BCD"/>
    <w:rsid w:val="00470CF6"/>
    <w:rsid w:val="00471675"/>
    <w:rsid w:val="004740F9"/>
    <w:rsid w:val="004802E6"/>
    <w:rsid w:val="00483A0B"/>
    <w:rsid w:val="004853C6"/>
    <w:rsid w:val="004938DE"/>
    <w:rsid w:val="004B21DE"/>
    <w:rsid w:val="004C7CF2"/>
    <w:rsid w:val="004E2751"/>
    <w:rsid w:val="004F43A2"/>
    <w:rsid w:val="005003FD"/>
    <w:rsid w:val="005205FD"/>
    <w:rsid w:val="00521AFC"/>
    <w:rsid w:val="005376A7"/>
    <w:rsid w:val="0054670E"/>
    <w:rsid w:val="0055014D"/>
    <w:rsid w:val="00560A5F"/>
    <w:rsid w:val="0056185D"/>
    <w:rsid w:val="0056566B"/>
    <w:rsid w:val="005804FB"/>
    <w:rsid w:val="00587BC8"/>
    <w:rsid w:val="005A1EC9"/>
    <w:rsid w:val="005A218B"/>
    <w:rsid w:val="005A53DD"/>
    <w:rsid w:val="005C7A79"/>
    <w:rsid w:val="005D16C9"/>
    <w:rsid w:val="005E2AFF"/>
    <w:rsid w:val="005E55F8"/>
    <w:rsid w:val="005F2210"/>
    <w:rsid w:val="00603B2D"/>
    <w:rsid w:val="00605238"/>
    <w:rsid w:val="00622DCA"/>
    <w:rsid w:val="006305B5"/>
    <w:rsid w:val="00631E67"/>
    <w:rsid w:val="00633658"/>
    <w:rsid w:val="00650C81"/>
    <w:rsid w:val="006529F5"/>
    <w:rsid w:val="0065365C"/>
    <w:rsid w:val="00656AAE"/>
    <w:rsid w:val="00656AC1"/>
    <w:rsid w:val="00665A04"/>
    <w:rsid w:val="00670542"/>
    <w:rsid w:val="00671833"/>
    <w:rsid w:val="00677FDA"/>
    <w:rsid w:val="00683406"/>
    <w:rsid w:val="0068587E"/>
    <w:rsid w:val="00692F65"/>
    <w:rsid w:val="00693ABC"/>
    <w:rsid w:val="00693DCF"/>
    <w:rsid w:val="006959DF"/>
    <w:rsid w:val="006966F0"/>
    <w:rsid w:val="00697757"/>
    <w:rsid w:val="006A0734"/>
    <w:rsid w:val="006A60E5"/>
    <w:rsid w:val="006A6739"/>
    <w:rsid w:val="006B2A2F"/>
    <w:rsid w:val="006B3B14"/>
    <w:rsid w:val="006C1FE9"/>
    <w:rsid w:val="006C6A97"/>
    <w:rsid w:val="006D05B9"/>
    <w:rsid w:val="006E2F43"/>
    <w:rsid w:val="006E4944"/>
    <w:rsid w:val="006E76A9"/>
    <w:rsid w:val="006F3CB6"/>
    <w:rsid w:val="00703114"/>
    <w:rsid w:val="00715A0A"/>
    <w:rsid w:val="00734323"/>
    <w:rsid w:val="007648A2"/>
    <w:rsid w:val="007709BC"/>
    <w:rsid w:val="00772FBB"/>
    <w:rsid w:val="00780526"/>
    <w:rsid w:val="00781176"/>
    <w:rsid w:val="00782192"/>
    <w:rsid w:val="00784D17"/>
    <w:rsid w:val="007A4523"/>
    <w:rsid w:val="007C1BC7"/>
    <w:rsid w:val="007D6177"/>
    <w:rsid w:val="007E029E"/>
    <w:rsid w:val="007F39D0"/>
    <w:rsid w:val="008016E8"/>
    <w:rsid w:val="008053A6"/>
    <w:rsid w:val="00814044"/>
    <w:rsid w:val="008544E5"/>
    <w:rsid w:val="0085749F"/>
    <w:rsid w:val="0086466B"/>
    <w:rsid w:val="0086713E"/>
    <w:rsid w:val="008703BE"/>
    <w:rsid w:val="00897630"/>
    <w:rsid w:val="008B77E2"/>
    <w:rsid w:val="008B7CBA"/>
    <w:rsid w:val="008C5768"/>
    <w:rsid w:val="008D2611"/>
    <w:rsid w:val="008E1423"/>
    <w:rsid w:val="0091740B"/>
    <w:rsid w:val="009230D7"/>
    <w:rsid w:val="00925140"/>
    <w:rsid w:val="00927989"/>
    <w:rsid w:val="00944258"/>
    <w:rsid w:val="009520BE"/>
    <w:rsid w:val="009544E3"/>
    <w:rsid w:val="0096168E"/>
    <w:rsid w:val="00993571"/>
    <w:rsid w:val="00993B9A"/>
    <w:rsid w:val="009A1377"/>
    <w:rsid w:val="009A6A53"/>
    <w:rsid w:val="009B0167"/>
    <w:rsid w:val="009B1411"/>
    <w:rsid w:val="009C4327"/>
    <w:rsid w:val="009E1CEB"/>
    <w:rsid w:val="009E2FDA"/>
    <w:rsid w:val="009E7C64"/>
    <w:rsid w:val="009F57BA"/>
    <w:rsid w:val="00A021CA"/>
    <w:rsid w:val="00A0220F"/>
    <w:rsid w:val="00A02DF8"/>
    <w:rsid w:val="00A05704"/>
    <w:rsid w:val="00A12B45"/>
    <w:rsid w:val="00A175C4"/>
    <w:rsid w:val="00A2392C"/>
    <w:rsid w:val="00A24EFC"/>
    <w:rsid w:val="00A25D16"/>
    <w:rsid w:val="00A4020C"/>
    <w:rsid w:val="00A46FC8"/>
    <w:rsid w:val="00A8695E"/>
    <w:rsid w:val="00A869A6"/>
    <w:rsid w:val="00A91D33"/>
    <w:rsid w:val="00A93D24"/>
    <w:rsid w:val="00AB0BD6"/>
    <w:rsid w:val="00AC2C09"/>
    <w:rsid w:val="00AC6F09"/>
    <w:rsid w:val="00AD2A32"/>
    <w:rsid w:val="00AD35DC"/>
    <w:rsid w:val="00AD4C72"/>
    <w:rsid w:val="00AD7746"/>
    <w:rsid w:val="00AE0E18"/>
    <w:rsid w:val="00AE14AC"/>
    <w:rsid w:val="00AF6892"/>
    <w:rsid w:val="00B2098F"/>
    <w:rsid w:val="00B306F9"/>
    <w:rsid w:val="00B31771"/>
    <w:rsid w:val="00B35E4E"/>
    <w:rsid w:val="00B37722"/>
    <w:rsid w:val="00B41924"/>
    <w:rsid w:val="00B518F8"/>
    <w:rsid w:val="00B52956"/>
    <w:rsid w:val="00B55726"/>
    <w:rsid w:val="00B61F9A"/>
    <w:rsid w:val="00B65108"/>
    <w:rsid w:val="00B703C9"/>
    <w:rsid w:val="00B71A5B"/>
    <w:rsid w:val="00B73748"/>
    <w:rsid w:val="00B75B38"/>
    <w:rsid w:val="00B75FCE"/>
    <w:rsid w:val="00B765E7"/>
    <w:rsid w:val="00B821FC"/>
    <w:rsid w:val="00B90A2D"/>
    <w:rsid w:val="00BA245E"/>
    <w:rsid w:val="00BA3F39"/>
    <w:rsid w:val="00BA41C8"/>
    <w:rsid w:val="00BA4A74"/>
    <w:rsid w:val="00BA7E46"/>
    <w:rsid w:val="00BB3732"/>
    <w:rsid w:val="00BC487F"/>
    <w:rsid w:val="00BC6D84"/>
    <w:rsid w:val="00BC74FD"/>
    <w:rsid w:val="00BD6749"/>
    <w:rsid w:val="00BF43B4"/>
    <w:rsid w:val="00BF655A"/>
    <w:rsid w:val="00C0264E"/>
    <w:rsid w:val="00C12296"/>
    <w:rsid w:val="00C14114"/>
    <w:rsid w:val="00C21B83"/>
    <w:rsid w:val="00C34893"/>
    <w:rsid w:val="00C40E86"/>
    <w:rsid w:val="00C42142"/>
    <w:rsid w:val="00C54E07"/>
    <w:rsid w:val="00C63959"/>
    <w:rsid w:val="00C655FE"/>
    <w:rsid w:val="00C72567"/>
    <w:rsid w:val="00C8051A"/>
    <w:rsid w:val="00C87115"/>
    <w:rsid w:val="00C90E5F"/>
    <w:rsid w:val="00C92983"/>
    <w:rsid w:val="00C9485E"/>
    <w:rsid w:val="00C95811"/>
    <w:rsid w:val="00CA5E44"/>
    <w:rsid w:val="00CA7DD7"/>
    <w:rsid w:val="00CD5055"/>
    <w:rsid w:val="00CE50A0"/>
    <w:rsid w:val="00CF203F"/>
    <w:rsid w:val="00D01F5D"/>
    <w:rsid w:val="00D1082E"/>
    <w:rsid w:val="00D111F9"/>
    <w:rsid w:val="00D22DAE"/>
    <w:rsid w:val="00D23806"/>
    <w:rsid w:val="00D23847"/>
    <w:rsid w:val="00D24510"/>
    <w:rsid w:val="00D252AA"/>
    <w:rsid w:val="00D34D02"/>
    <w:rsid w:val="00D426CC"/>
    <w:rsid w:val="00D47129"/>
    <w:rsid w:val="00D50EFB"/>
    <w:rsid w:val="00D5522A"/>
    <w:rsid w:val="00D607B8"/>
    <w:rsid w:val="00D621FC"/>
    <w:rsid w:val="00D721AF"/>
    <w:rsid w:val="00D82ED8"/>
    <w:rsid w:val="00D90CA5"/>
    <w:rsid w:val="00D929E7"/>
    <w:rsid w:val="00D948F2"/>
    <w:rsid w:val="00DA5E70"/>
    <w:rsid w:val="00DB3FCA"/>
    <w:rsid w:val="00DB72B6"/>
    <w:rsid w:val="00DC0021"/>
    <w:rsid w:val="00DC3CE0"/>
    <w:rsid w:val="00DC6A91"/>
    <w:rsid w:val="00DD6D16"/>
    <w:rsid w:val="00DE4DDC"/>
    <w:rsid w:val="00DF09AA"/>
    <w:rsid w:val="00DF5129"/>
    <w:rsid w:val="00DF797A"/>
    <w:rsid w:val="00E06C71"/>
    <w:rsid w:val="00E20390"/>
    <w:rsid w:val="00E215C8"/>
    <w:rsid w:val="00E24B3C"/>
    <w:rsid w:val="00E25CFD"/>
    <w:rsid w:val="00E25FDE"/>
    <w:rsid w:val="00E315A9"/>
    <w:rsid w:val="00E35D46"/>
    <w:rsid w:val="00E45E07"/>
    <w:rsid w:val="00E50C81"/>
    <w:rsid w:val="00E541F6"/>
    <w:rsid w:val="00E56A64"/>
    <w:rsid w:val="00E703F9"/>
    <w:rsid w:val="00E71B45"/>
    <w:rsid w:val="00EA4463"/>
    <w:rsid w:val="00EA47C4"/>
    <w:rsid w:val="00EB4851"/>
    <w:rsid w:val="00EB72BA"/>
    <w:rsid w:val="00EE2DE4"/>
    <w:rsid w:val="00EE39EA"/>
    <w:rsid w:val="00EF7C38"/>
    <w:rsid w:val="00F05422"/>
    <w:rsid w:val="00F05F3B"/>
    <w:rsid w:val="00F066D1"/>
    <w:rsid w:val="00F24B9A"/>
    <w:rsid w:val="00F27678"/>
    <w:rsid w:val="00F30047"/>
    <w:rsid w:val="00F307E2"/>
    <w:rsid w:val="00F33AC9"/>
    <w:rsid w:val="00F411F2"/>
    <w:rsid w:val="00F42859"/>
    <w:rsid w:val="00F43C18"/>
    <w:rsid w:val="00F45028"/>
    <w:rsid w:val="00F50FB0"/>
    <w:rsid w:val="00F5480B"/>
    <w:rsid w:val="00F57A55"/>
    <w:rsid w:val="00F70AE9"/>
    <w:rsid w:val="00F735A9"/>
    <w:rsid w:val="00F86266"/>
    <w:rsid w:val="00FA3DA3"/>
    <w:rsid w:val="00FA57A8"/>
    <w:rsid w:val="00FB1370"/>
    <w:rsid w:val="00FB59FE"/>
    <w:rsid w:val="00FC30C8"/>
    <w:rsid w:val="00FC6F45"/>
    <w:rsid w:val="00FD1724"/>
    <w:rsid w:val="00FD2AC7"/>
    <w:rsid w:val="00FD2B8C"/>
    <w:rsid w:val="00FE6DC9"/>
    <w:rsid w:val="00FF1877"/>
    <w:rsid w:val="00FF49B9"/>
    <w:rsid w:val="00F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678"/>
    <w:rPr>
      <w:sz w:val="24"/>
      <w:szCs w:val="24"/>
    </w:rPr>
  </w:style>
  <w:style w:type="paragraph" w:styleId="Heading1">
    <w:name w:val="heading 1"/>
    <w:basedOn w:val="Normal"/>
    <w:next w:val="Normal"/>
    <w:qFormat/>
    <w:rsid w:val="007805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0E5F"/>
    <w:pPr>
      <w:tabs>
        <w:tab w:val="center" w:pos="4320"/>
        <w:tab w:val="right" w:pos="8640"/>
      </w:tabs>
    </w:pPr>
  </w:style>
  <w:style w:type="character" w:styleId="PageNumber">
    <w:name w:val="page number"/>
    <w:basedOn w:val="DefaultParagraphFont"/>
    <w:rsid w:val="00C90E5F"/>
  </w:style>
  <w:style w:type="paragraph" w:styleId="Header">
    <w:name w:val="header"/>
    <w:basedOn w:val="Normal"/>
    <w:rsid w:val="00780526"/>
    <w:pPr>
      <w:tabs>
        <w:tab w:val="center" w:pos="4320"/>
        <w:tab w:val="right" w:pos="8640"/>
      </w:tabs>
    </w:pPr>
  </w:style>
  <w:style w:type="paragraph" w:styleId="BodyText">
    <w:name w:val="Body Text"/>
    <w:basedOn w:val="Normal"/>
    <w:autoRedefine/>
    <w:rsid w:val="00780526"/>
    <w:pPr>
      <w:spacing w:after="240"/>
      <w:ind w:firstLine="720"/>
      <w:jc w:val="both"/>
    </w:pPr>
  </w:style>
  <w:style w:type="paragraph" w:customStyle="1" w:styleId="numparabodytext">
    <w:name w:val="num para body text"/>
    <w:basedOn w:val="BodyTextFirstIndent"/>
    <w:autoRedefine/>
    <w:rsid w:val="00780526"/>
    <w:pPr>
      <w:numPr>
        <w:numId w:val="1"/>
      </w:numPr>
      <w:spacing w:after="240"/>
      <w:jc w:val="both"/>
    </w:pPr>
  </w:style>
  <w:style w:type="paragraph" w:customStyle="1" w:styleId="blockbodytext">
    <w:name w:val="block body text"/>
    <w:basedOn w:val="Normal"/>
    <w:autoRedefine/>
    <w:rsid w:val="00780526"/>
    <w:pPr>
      <w:autoSpaceDE w:val="0"/>
      <w:autoSpaceDN w:val="0"/>
      <w:adjustRightInd w:val="0"/>
      <w:spacing w:after="240"/>
      <w:jc w:val="both"/>
    </w:pPr>
  </w:style>
  <w:style w:type="paragraph" w:styleId="BodyTextFirstIndent">
    <w:name w:val="Body Text First Indent"/>
    <w:basedOn w:val="BodyText"/>
    <w:rsid w:val="00780526"/>
    <w:pPr>
      <w:spacing w:after="120"/>
      <w:ind w:firstLine="210"/>
      <w:jc w:val="left"/>
    </w:pPr>
  </w:style>
  <w:style w:type="numbering" w:styleId="1ai">
    <w:name w:val="Outline List 1"/>
    <w:aliases w:val="MFS Style"/>
    <w:basedOn w:val="NoList"/>
    <w:rsid w:val="000A1C5D"/>
    <w:pPr>
      <w:numPr>
        <w:numId w:val="3"/>
      </w:numPr>
    </w:pPr>
  </w:style>
  <w:style w:type="paragraph" w:customStyle="1" w:styleId="Fryberger">
    <w:name w:val="Fryberger"/>
    <w:qFormat/>
    <w:rsid w:val="000A1C5D"/>
    <w:rPr>
      <w:smallCaps/>
      <w:kern w:val="10"/>
      <w:sz w:val="16"/>
      <w:szCs w:val="16"/>
    </w:rPr>
  </w:style>
  <w:style w:type="paragraph" w:customStyle="1" w:styleId="Fryberger2">
    <w:name w:val="Fryberger 2"/>
    <w:qFormat/>
    <w:rsid w:val="000A1C5D"/>
    <w:rPr>
      <w:smallCaps/>
      <w:sz w:val="12"/>
      <w:szCs w:val="12"/>
    </w:rPr>
  </w:style>
  <w:style w:type="paragraph" w:customStyle="1" w:styleId="Fryberger3">
    <w:name w:val="Fryberger 3"/>
    <w:qFormat/>
    <w:rsid w:val="000A1C5D"/>
    <w:pPr>
      <w:pBdr>
        <w:top w:val="single" w:sz="6" w:space="0" w:color="FFFFFF"/>
        <w:left w:val="single" w:sz="6" w:space="0" w:color="FFFFFF"/>
        <w:bottom w:val="single" w:sz="6" w:space="0" w:color="FFFFFF"/>
        <w:right w:val="single" w:sz="6" w:space="0" w:color="FFFFFF"/>
      </w:pBdr>
      <w:tabs>
        <w:tab w:val="left" w:pos="720"/>
        <w:tab w:val="center" w:pos="5040"/>
        <w:tab w:val="right" w:pos="9360"/>
        <w:tab w:val="left" w:pos="10080"/>
      </w:tabs>
      <w:spacing w:line="139" w:lineRule="exact"/>
    </w:pPr>
    <w:rPr>
      <w:bCs/>
      <w:sz w:val="10"/>
      <w:szCs w:val="10"/>
    </w:rPr>
  </w:style>
  <w:style w:type="paragraph" w:customStyle="1" w:styleId="Fryberger4">
    <w:name w:val="Fryberger 4"/>
    <w:qFormat/>
    <w:rsid w:val="000A1C5D"/>
    <w:pPr>
      <w:jc w:val="right"/>
    </w:pPr>
    <w:rPr>
      <w:i/>
      <w:smallCaps/>
    </w:rPr>
  </w:style>
  <w:style w:type="paragraph" w:customStyle="1" w:styleId="FrybergerFooter">
    <w:name w:val="Fryberger Footer"/>
    <w:qFormat/>
    <w:rsid w:val="000A1C5D"/>
    <w:pPr>
      <w:spacing w:line="360" w:lineRule="auto"/>
      <w:jc w:val="center"/>
    </w:pPr>
    <w:rPr>
      <w:b/>
      <w:smallCaps/>
      <w:sz w:val="14"/>
      <w:szCs w:val="14"/>
    </w:rPr>
  </w:style>
  <w:style w:type="table" w:styleId="TableGrid">
    <w:name w:val="Table Grid"/>
    <w:basedOn w:val="TableNormal"/>
    <w:rsid w:val="00CD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8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678"/>
    <w:rPr>
      <w:sz w:val="24"/>
      <w:szCs w:val="24"/>
    </w:rPr>
  </w:style>
  <w:style w:type="paragraph" w:styleId="Heading1">
    <w:name w:val="heading 1"/>
    <w:basedOn w:val="Normal"/>
    <w:next w:val="Normal"/>
    <w:qFormat/>
    <w:rsid w:val="007805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90E5F"/>
    <w:pPr>
      <w:tabs>
        <w:tab w:val="center" w:pos="4320"/>
        <w:tab w:val="right" w:pos="8640"/>
      </w:tabs>
    </w:pPr>
  </w:style>
  <w:style w:type="character" w:styleId="PageNumber">
    <w:name w:val="page number"/>
    <w:basedOn w:val="DefaultParagraphFont"/>
    <w:rsid w:val="00C90E5F"/>
  </w:style>
  <w:style w:type="paragraph" w:styleId="Header">
    <w:name w:val="header"/>
    <w:basedOn w:val="Normal"/>
    <w:rsid w:val="00780526"/>
    <w:pPr>
      <w:tabs>
        <w:tab w:val="center" w:pos="4320"/>
        <w:tab w:val="right" w:pos="8640"/>
      </w:tabs>
    </w:pPr>
  </w:style>
  <w:style w:type="paragraph" w:styleId="BodyText">
    <w:name w:val="Body Text"/>
    <w:basedOn w:val="Normal"/>
    <w:autoRedefine/>
    <w:rsid w:val="00780526"/>
    <w:pPr>
      <w:spacing w:after="240"/>
      <w:ind w:firstLine="720"/>
      <w:jc w:val="both"/>
    </w:pPr>
  </w:style>
  <w:style w:type="paragraph" w:customStyle="1" w:styleId="numparabodytext">
    <w:name w:val="num para body text"/>
    <w:basedOn w:val="BodyTextFirstIndent"/>
    <w:autoRedefine/>
    <w:rsid w:val="00780526"/>
    <w:pPr>
      <w:numPr>
        <w:numId w:val="1"/>
      </w:numPr>
      <w:spacing w:after="240"/>
      <w:jc w:val="both"/>
    </w:pPr>
  </w:style>
  <w:style w:type="paragraph" w:customStyle="1" w:styleId="blockbodytext">
    <w:name w:val="block body text"/>
    <w:basedOn w:val="Normal"/>
    <w:autoRedefine/>
    <w:rsid w:val="00780526"/>
    <w:pPr>
      <w:autoSpaceDE w:val="0"/>
      <w:autoSpaceDN w:val="0"/>
      <w:adjustRightInd w:val="0"/>
      <w:spacing w:after="240"/>
      <w:jc w:val="both"/>
    </w:pPr>
  </w:style>
  <w:style w:type="paragraph" w:styleId="BodyTextFirstIndent">
    <w:name w:val="Body Text First Indent"/>
    <w:basedOn w:val="BodyText"/>
    <w:rsid w:val="00780526"/>
    <w:pPr>
      <w:spacing w:after="120"/>
      <w:ind w:firstLine="210"/>
      <w:jc w:val="left"/>
    </w:pPr>
  </w:style>
  <w:style w:type="numbering" w:styleId="1ai">
    <w:name w:val="Outline List 1"/>
    <w:aliases w:val="MFS Style"/>
    <w:basedOn w:val="NoList"/>
    <w:rsid w:val="000A1C5D"/>
    <w:pPr>
      <w:numPr>
        <w:numId w:val="3"/>
      </w:numPr>
    </w:pPr>
  </w:style>
  <w:style w:type="paragraph" w:customStyle="1" w:styleId="Fryberger">
    <w:name w:val="Fryberger"/>
    <w:qFormat/>
    <w:rsid w:val="000A1C5D"/>
    <w:rPr>
      <w:smallCaps/>
      <w:kern w:val="10"/>
      <w:sz w:val="16"/>
      <w:szCs w:val="16"/>
    </w:rPr>
  </w:style>
  <w:style w:type="paragraph" w:customStyle="1" w:styleId="Fryberger2">
    <w:name w:val="Fryberger 2"/>
    <w:qFormat/>
    <w:rsid w:val="000A1C5D"/>
    <w:rPr>
      <w:smallCaps/>
      <w:sz w:val="12"/>
      <w:szCs w:val="12"/>
    </w:rPr>
  </w:style>
  <w:style w:type="paragraph" w:customStyle="1" w:styleId="Fryberger3">
    <w:name w:val="Fryberger 3"/>
    <w:qFormat/>
    <w:rsid w:val="000A1C5D"/>
    <w:pPr>
      <w:pBdr>
        <w:top w:val="single" w:sz="6" w:space="0" w:color="FFFFFF"/>
        <w:left w:val="single" w:sz="6" w:space="0" w:color="FFFFFF"/>
        <w:bottom w:val="single" w:sz="6" w:space="0" w:color="FFFFFF"/>
        <w:right w:val="single" w:sz="6" w:space="0" w:color="FFFFFF"/>
      </w:pBdr>
      <w:tabs>
        <w:tab w:val="left" w:pos="720"/>
        <w:tab w:val="center" w:pos="5040"/>
        <w:tab w:val="right" w:pos="9360"/>
        <w:tab w:val="left" w:pos="10080"/>
      </w:tabs>
      <w:spacing w:line="139" w:lineRule="exact"/>
    </w:pPr>
    <w:rPr>
      <w:bCs/>
      <w:sz w:val="10"/>
      <w:szCs w:val="10"/>
    </w:rPr>
  </w:style>
  <w:style w:type="paragraph" w:customStyle="1" w:styleId="Fryberger4">
    <w:name w:val="Fryberger 4"/>
    <w:qFormat/>
    <w:rsid w:val="000A1C5D"/>
    <w:pPr>
      <w:jc w:val="right"/>
    </w:pPr>
    <w:rPr>
      <w:i/>
      <w:smallCaps/>
    </w:rPr>
  </w:style>
  <w:style w:type="paragraph" w:customStyle="1" w:styleId="FrybergerFooter">
    <w:name w:val="Fryberger Footer"/>
    <w:qFormat/>
    <w:rsid w:val="000A1C5D"/>
    <w:pPr>
      <w:spacing w:line="360" w:lineRule="auto"/>
      <w:jc w:val="center"/>
    </w:pPr>
    <w:rPr>
      <w:b/>
      <w:smallCaps/>
      <w:sz w:val="14"/>
      <w:szCs w:val="14"/>
    </w:rPr>
  </w:style>
  <w:style w:type="table" w:styleId="TableGrid">
    <w:name w:val="Table Grid"/>
    <w:basedOn w:val="TableNormal"/>
    <w:rsid w:val="00CD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D310-D33A-47B0-B1C7-FD2BF2AE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8FB438F6</Template>
  <TotalTime>3</TotalTime>
  <Pages>9</Pages>
  <Words>2789</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POST-ISSUANCE COMPLIANCE POLICY</vt:lpstr>
    </vt:vector>
  </TitlesOfParts>
  <Company>Fryberger, Buchanan, Smith &amp; Frederick P.A.</Company>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POST-ISSUANCE COMPLIANCE POLICY</dc:title>
  <dc:creator>ajl</dc:creator>
  <cp:lastModifiedBy>Christopher J. Virta</cp:lastModifiedBy>
  <cp:revision>3</cp:revision>
  <cp:lastPrinted>2019-08-22T20:29:00Z</cp:lastPrinted>
  <dcterms:created xsi:type="dcterms:W3CDTF">2020-03-29T16:23:00Z</dcterms:created>
  <dcterms:modified xsi:type="dcterms:W3CDTF">2020-03-29T16:26:00Z</dcterms:modified>
</cp:coreProperties>
</file>